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Титульныйлист"/>
        <w:spacing w:before="0" w:after="0"/>
        <w:jc w:val="center"/>
      </w:pPr>
      <w:r>
        <w:rPr>
          <w:sz w:val="24"/>
        </w:rPr>
        <w:t>Министерство науки и высшего образования Российской Федерации</w:t>
      </w:r>
    </w:p>
    <w:p>
      <w:pPr>
        <w:pStyle w:val="Титульныйлист"/>
        <w:spacing w:before="40" w:after="0"/>
        <w:jc w:val="center"/>
      </w:pPr>
      <w:r>
        <w:rPr>
          <w:sz w:val="24"/>
        </w:rPr>
        <w:t>Федеральное государственное бюджетное образовательное учреждение</w:t>
      </w:r>
    </w:p>
    <w:p>
      <w:pPr>
        <w:pStyle w:val="Титульныйлист"/>
        <w:spacing w:before="0" w:after="0"/>
        <w:jc w:val="center"/>
      </w:pPr>
      <w:r>
        <w:rPr>
          <w:sz w:val="24"/>
        </w:rPr>
        <w:t>высшего образования</w:t>
      </w:r>
    </w:p>
    <w:p>
      <w:pPr>
        <w:pStyle w:val="Титульныйлист"/>
        <w:spacing w:before="120" w:after="0"/>
        <w:jc w:val="center"/>
      </w:pPr>
      <w:r>
        <w:rPr>
          <w:b/>
          <w:sz w:val="26"/>
        </w:rPr>
        <w:t>«Энский государственный архитектурно-строительный университет»</w:t>
      </w:r>
    </w:p>
    <w:p>
      <w:pPr>
        <w:pStyle w:val="Титульныйлист"/>
        <w:spacing w:before="40" w:after="0"/>
        <w:jc w:val="center"/>
      </w:pPr>
      <w:r>
        <w:rPr>
          <w:sz w:val="24"/>
        </w:rPr>
        <w:t>(ЭГАСУ)</w:t>
      </w:r>
    </w:p>
    <w:p>
      <w:pPr>
        <w:pStyle w:val="Титульныйлист"/>
        <w:spacing w:before="600" w:after="0"/>
        <w:jc w:val="center"/>
      </w:pPr>
      <w:r>
        <w:rPr>
          <w:sz w:val="28"/>
        </w:rPr>
        <w:t>Инженерно-строительный институт</w:t>
      </w:r>
    </w:p>
    <w:p>
      <w:pPr>
        <w:pStyle w:val="Титульныйлист"/>
        <w:spacing w:before="40" w:after="0"/>
        <w:jc w:val="center"/>
      </w:pPr>
      <w:r>
        <w:rPr>
          <w:sz w:val="28"/>
        </w:rPr>
        <w:t>Кафедра теплогазоснабжения и вентиляции</w:t>
      </w:r>
    </w:p>
    <w:p>
      <w:pPr>
        <w:pStyle w:val="Титульныйлист"/>
        <w:spacing w:before="2400" w:after="0"/>
        <w:jc w:val="center"/>
      </w:pPr>
      <w:r>
        <w:rPr>
          <w:b/>
          <w:spacing w:val="40"/>
          <w:sz w:val="32"/>
        </w:rPr>
        <w:t>ПОЯСНИТЕЛЬНАЯ ЗАПИСКА</w:t>
      </w:r>
    </w:p>
    <w:p>
      <w:pPr>
        <w:pStyle w:val="Титульныйлист"/>
        <w:spacing w:before="200" w:after="0"/>
        <w:jc w:val="center"/>
      </w:pPr>
      <w:r>
        <w:rPr>
          <w:sz w:val="28"/>
        </w:rPr>
        <w:t>к курсовому проекту по дисциплине «Вентиляция»</w:t>
      </w:r>
    </w:p>
    <w:p>
      <w:pPr>
        <w:pStyle w:val="Титульныйлист"/>
        <w:spacing w:before="520" w:after="0"/>
        <w:jc w:val="center"/>
      </w:pPr>
      <w:r>
        <w:rPr>
          <w:b/>
          <w:sz w:val="28"/>
        </w:rPr>
        <w:t>РАСЧЁТ И ПОДБОР СИСТЕМЫ ВЕНТИЛЯЦИИ</w:t>
      </w:r>
    </w:p>
    <w:p>
      <w:pPr>
        <w:pStyle w:val="Титульныйлист"/>
        <w:spacing w:before="80" w:after="0"/>
        <w:jc w:val="center"/>
      </w:pPr>
      <w:r>
        <w:rPr>
          <w:b/>
          <w:sz w:val="28"/>
        </w:rPr>
        <w:t>УЧЕБНОГО КЛАССА</w:t>
      </w:r>
    </w:p>
    <w:p>
      <w:pPr>
        <w:pStyle w:val="Титульныйлист"/>
        <w:spacing w:before="360" w:after="0"/>
        <w:jc w:val="center"/>
      </w:pPr>
      <w:r>
        <w:rPr>
          <w:sz w:val="26"/>
        </w:rPr>
        <w:t>КП–08.03.01–ТГВ–214–ПЗ</w:t>
      </w:r>
    </w:p>
    <w:p>
      <w:pPr>
        <w:pStyle w:val="Титульныйлист"/>
        <w:spacing w:before="1280" w:after="0"/>
        <w:jc w:val="center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4309"/>
            <w:vAlign w:val="bottom"/>
          </w:tcPr>
          <w:p>
            <w:pPr>
              <w:pStyle w:val="Титульныйлист"/>
              <w:spacing w:before="360"/>
              <w:jc w:val="left"/>
            </w:pPr>
            <w:r>
              <w:rPr>
                <w:b/>
              </w:rPr>
              <w:t>Выполнил:</w:t>
            </w:r>
          </w:p>
          <w:p>
            <w:pPr>
              <w:pStyle w:val="Титульныйлист"/>
              <w:jc w:val="left"/>
            </w:pPr>
            <w:r>
              <w:rPr>
                <w:sz w:val="24"/>
              </w:rPr>
              <w:t>студент группы ТГВ-31</w:t>
            </w:r>
          </w:p>
        </w:tc>
        <w:tc>
          <w:tcPr>
            <w:tcW w:type="dxa" w:w="2381"/>
            <w:vAlign w:val="bottom"/>
          </w:tcPr>
          <w:p>
            <w:pPr>
              <w:pStyle w:val="Титульныйлист"/>
              <w:spacing w:before="360"/>
              <w:jc w:val="center"/>
            </w:pPr>
            <w:r>
              <w:t>______________</w:t>
            </w:r>
          </w:p>
        </w:tc>
        <w:tc>
          <w:tcPr>
            <w:tcW w:type="dxa" w:w="2608"/>
            <w:vAlign w:val="bottom"/>
          </w:tcPr>
          <w:p>
            <w:pPr>
              <w:pStyle w:val="Титульныйлист"/>
              <w:spacing w:before="360"/>
              <w:jc w:val="left"/>
            </w:pPr>
            <w:r>
              <w:t>А. С. Морозов</w:t>
            </w:r>
          </w:p>
        </w:tc>
      </w:tr>
      <w:tr>
        <w:tc>
          <w:tcPr>
            <w:tcW w:type="dxa" w:w="4309"/>
            <w:vAlign w:val="bottom"/>
          </w:tcPr>
          <w:p>
            <w:pPr>
              <w:pStyle w:val="Титульныйлист"/>
              <w:spacing w:before="280"/>
              <w:jc w:val="left"/>
            </w:pPr>
            <w:r>
              <w:rPr>
                <w:b/>
              </w:rPr>
              <w:t>Проверил:</w:t>
            </w:r>
          </w:p>
          <w:p>
            <w:pPr>
              <w:pStyle w:val="Титульныйлист"/>
              <w:jc w:val="left"/>
            </w:pPr>
            <w:r>
              <w:rPr>
                <w:sz w:val="24"/>
              </w:rPr>
              <w:t>доцент, канд. техн. наук</w:t>
            </w:r>
          </w:p>
        </w:tc>
        <w:tc>
          <w:tcPr>
            <w:tcW w:type="dxa" w:w="2381"/>
            <w:vAlign w:val="bottom"/>
          </w:tcPr>
          <w:p>
            <w:pPr>
              <w:pStyle w:val="Титульныйлист"/>
              <w:spacing w:before="280"/>
              <w:jc w:val="center"/>
            </w:pPr>
            <w:r>
              <w:t>______________</w:t>
            </w:r>
          </w:p>
        </w:tc>
        <w:tc>
          <w:tcPr>
            <w:tcW w:type="dxa" w:w="2608"/>
            <w:vAlign w:val="bottom"/>
          </w:tcPr>
          <w:p>
            <w:pPr>
              <w:pStyle w:val="Титульныйлист"/>
              <w:spacing w:before="280"/>
              <w:jc w:val="left"/>
            </w:pPr>
            <w:r>
              <w:t>Е. В. Соколова</w:t>
            </w:r>
          </w:p>
        </w:tc>
      </w:tr>
    </w:tbl>
    <w:p>
      <w:pPr>
        <w:pStyle w:val="Титульныйлист"/>
        <w:spacing w:before="1200" w:after="0"/>
        <w:jc w:val="center"/>
      </w:pPr>
    </w:p>
    <w:p>
      <w:pPr>
        <w:pStyle w:val="Титульныйлист"/>
        <w:spacing w:before="0" w:after="0"/>
        <w:jc w:val="center"/>
      </w:pPr>
      <w:r>
        <w:rPr>
          <w:sz w:val="28"/>
        </w:rPr>
        <w:t>Энск 2026</w:t>
      </w:r>
    </w:p>
    <w:p>
      <w:pPr>
        <w:pStyle w:val="Титульныйлист"/>
        <w:spacing w:before="400" w:after="0"/>
        <w:jc w:val="center"/>
      </w:pPr>
      <w:r>
        <w:rPr>
          <w:i/>
          <w:sz w:val="20"/>
        </w:rPr>
        <w:t>Демонстрационный образец оформления по ГОСТ 7.32. Вуз, авторы и исходные данные условные.</w:t>
      </w:r>
    </w:p>
    <w:p>
      <w:pPr>
        <w:pStyle w:val="Заголовокбезоглавления"/>
      </w:pPr>
      <w:r>
        <w:t>Реферат</w:t>
      </w:r>
    </w:p>
    <w:p>
      <w:r>
        <w:t>Пояснительная записка 12 с., 3 рис., 4 табл., 7 источн., 1 прил.</w:t>
      </w:r>
    </w:p>
    <w:p>
      <w:pPr>
        <w:spacing w:before="120"/>
      </w:pPr>
      <w:r>
        <w:t>ВЕНТИЛЯЦИЯ, ВОЗДУХООБМЕН, УЧЕБНЫЙ КЛАСС, ДИОКСИД УГЛЕРОДА, ТЕПЛОИЗБЫТКИ, АЭРОДИНАМИЧЕСКИЙ РАСЧЁТ, ПРИТОЧНО-ВЫТЯЖНАЯ УСТАНОВКА, РЕКУПЕРАЦИЯ ТЕПЛОТЫ</w:t>
      </w:r>
    </w:p>
    <w:p>
      <w:pPr>
        <w:spacing w:before="120"/>
      </w:pPr>
      <w:r>
        <w:t>Объект проектирования — учебный класс № 214 общеобразовательной школы на 30 учащихся площадью 64,8 м² и объёмом 220,3 м³.</w:t>
      </w:r>
    </w:p>
    <w:p>
      <w:r>
        <w:t>Цель работы — определить требуемый воздухообмен, разработать схему механической приточно-вытяжной вентиляции и подобрать оборудование, обеспечивающее нормируемые параметры микроклимата и качества воздуха.</w:t>
      </w:r>
    </w:p>
    <w:p>
      <w:r>
        <w:t>В ходе работы выполнены расчёт воздухообмена по нормативному удельному расходу, по ассимиляции диоксида углерода и избытков явной теплоты, моделирование концентрации CO</w:t>
      </w:r>
      <w:r>
        <w:rPr>
          <w:vertAlign w:val="subscript"/>
        </w:rPr>
        <w:t>2</w:t>
      </w:r>
      <w:r>
        <w:t xml:space="preserve"> в течение учебного дня, аэродинамический расчёт сети воздуховодов и подбор приточно-вытяжной установки.</w:t>
      </w:r>
    </w:p>
    <w:p>
      <w:r>
        <w:t>Результаты: расчётный воздухообмен — 1 200 м³/ч (кратность 5,4 ч</w:t>
      </w:r>
      <w:r>
        <w:rPr>
          <w:vertAlign w:val="superscript"/>
        </w:rPr>
        <w:t>−1</w:t>
      </w:r>
      <w:r>
        <w:t>); концентрация CO</w:t>
      </w:r>
      <w:r>
        <w:rPr>
          <w:vertAlign w:val="subscript"/>
        </w:rPr>
        <w:t>2</w:t>
      </w:r>
      <w:r>
        <w:t xml:space="preserve"> не превышает 920 ppm при допустимых 1 050 ppm; потери давления в сети — 93 Па; мощность приточного вентилятора — 227 Вт.</w:t>
      </w:r>
    </w:p>
    <w:p>
      <w:r>
        <w:t>Область применения — проектирование систем вентиляции учебных помещений общеобразовательных организаций.</w:t>
      </w:r>
    </w:p>
    <w:p>
      <w:pPr>
        <w:pStyle w:val="Заголовокбезоглавления"/>
      </w:pPr>
      <w:r>
        <w:t>Содержание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000101" w:history="1">
        <w:r>
          <w:t xml:space="preserve">Введение</w:t>
        </w:r>
        <w:r>
          <w:tab/>
        </w:r>
        <w:r>
          <w:fldChar w:fldCharType="begin"/>
        </w:r>
        <w:r>
          <w:instrText xml:space="preserve"> PAGEREF _Toc000101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</w:pPr>
      <w:hyperlink w:anchor="_Toc000102" w:history="1">
        <w:r>
          <w:t xml:space="preserve">1 Расчёт требуемого воздухообмена</w:t>
        </w:r>
        <w:r>
          <w:tab/>
        </w:r>
        <w:r>
          <w:fldChar w:fldCharType="begin"/>
        </w:r>
        <w:r>
          <w:instrText xml:space="preserve"> PAGEREF _Toc000102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</w:pPr>
      <w:hyperlink w:anchor="_Toc000103" w:history="1">
        <w:r>
          <w:t xml:space="preserve">1.1 Исходные данные</w:t>
        </w:r>
        <w:r>
          <w:tab/>
        </w:r>
        <w:r>
          <w:fldChar w:fldCharType="begin"/>
        </w:r>
        <w:r>
          <w:instrText xml:space="preserve"> PAGEREF _Toc000103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</w:pPr>
      <w:hyperlink w:anchor="_Toc000104" w:history="1">
        <w:r>
          <w:t xml:space="preserve">1.2 Воздухообмен по нормативному расходу и по диоксиду углерода</w:t>
        </w:r>
        <w:r>
          <w:tab/>
        </w:r>
        <w:r>
          <w:fldChar w:fldCharType="begin"/>
        </w:r>
        <w:r>
          <w:instrText xml:space="preserve"> PAGEREF _Toc000104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</w:pPr>
      <w:hyperlink w:anchor="_Toc000105" w:history="1">
        <w:r>
          <w:t xml:space="preserve">1.3 Воздухообмен по избыткам явной теплоты</w:t>
        </w:r>
        <w:r>
          <w:tab/>
        </w:r>
        <w:r>
          <w:fldChar w:fldCharType="begin"/>
        </w:r>
        <w:r>
          <w:instrText xml:space="preserve"> PAGEREF _Toc000105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</w:pPr>
      <w:hyperlink w:anchor="_Toc000106" w:history="1">
        <w:r>
          <w:t xml:space="preserve">1.3.1 Теплопоступления в тёплый период года</w:t>
        </w:r>
        <w:r>
          <w:tab/>
        </w:r>
        <w:r>
          <w:fldChar w:fldCharType="begin"/>
        </w:r>
        <w:r>
          <w:instrText xml:space="preserve"> PAGEREF _Toc000106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</w:pPr>
      <w:hyperlink w:anchor="_Toc000107" w:history="1">
        <w:r>
          <w:t xml:space="preserve">1.3.2 Расход воздуха для ассимиляции теплоизбытков</w:t>
        </w:r>
        <w:r>
          <w:tab/>
        </w:r>
        <w:r>
          <w:fldChar w:fldCharType="begin"/>
        </w:r>
        <w:r>
          <w:instrText xml:space="preserve"> PAGEREF _Toc000107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</w:pPr>
      <w:hyperlink w:anchor="_Toc000108" w:history="1">
        <w:r>
          <w:t xml:space="preserve">1.4 Расчётный воздухообмен</w:t>
        </w:r>
        <w:r>
          <w:tab/>
        </w:r>
        <w:r>
          <w:fldChar w:fldCharType="begin"/>
        </w:r>
        <w:r>
          <w:instrText xml:space="preserve"> PAGEREF _Toc000108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</w:pPr>
      <w:hyperlink w:anchor="_Toc000109" w:history="1">
        <w:r>
          <w:t xml:space="preserve">2 Система вентиляции</w:t>
        </w:r>
        <w:r>
          <w:tab/>
        </w:r>
        <w:r>
          <w:fldChar w:fldCharType="begin"/>
        </w:r>
        <w:r>
          <w:instrText xml:space="preserve"> PAGEREF _Toc000109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</w:pPr>
      <w:hyperlink w:anchor="_Toc000110" w:history="1">
        <w:r>
          <w:t xml:space="preserve">2.1 Конструктивная схема</w:t>
        </w:r>
        <w:r>
          <w:tab/>
        </w:r>
        <w:r>
          <w:fldChar w:fldCharType="begin"/>
        </w:r>
        <w:r>
          <w:instrText xml:space="preserve"> PAGEREF _Toc000110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</w:pPr>
      <w:hyperlink w:anchor="_Toc000111" w:history="1">
        <w:r>
          <w:t xml:space="preserve">2.2 Аэродинамический расчёт</w:t>
        </w:r>
        <w:r>
          <w:tab/>
        </w:r>
        <w:r>
          <w:fldChar w:fldCharType="begin"/>
        </w:r>
        <w:r>
          <w:instrText xml:space="preserve"> PAGEREF _Toc000111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</w:pPr>
      <w:hyperlink w:anchor="_Toc000112" w:history="1">
        <w:r>
          <w:t xml:space="preserve">2.3 Подбор приточно-вытяжной установки</w:t>
        </w:r>
        <w:r>
          <w:tab/>
        </w:r>
        <w:r>
          <w:fldChar w:fldCharType="begin"/>
        </w:r>
        <w:r>
          <w:instrText xml:space="preserve"> PAGEREF _Toc000112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</w:pPr>
      <w:hyperlink w:anchor="_Toc000113" w:history="1">
        <w:r>
          <w:t xml:space="preserve">Заключение</w:t>
        </w:r>
        <w:r>
          <w:tab/>
        </w:r>
        <w:r>
          <w:fldChar w:fldCharType="begin"/>
        </w:r>
        <w:r>
          <w:instrText xml:space="preserve"> PAGEREF _Toc000113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</w:pPr>
      <w:hyperlink w:anchor="_Toc000114" w:history="1">
        <w:r>
          <w:t xml:space="preserve">Список использованных источников</w:t>
        </w:r>
        <w:r>
          <w:tab/>
        </w:r>
        <w:r>
          <w:fldChar w:fldCharType="begin"/>
        </w:r>
        <w:r>
          <w:instrText xml:space="preserve"> PAGEREF _Toc000114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</w:pPr>
      <w:hyperlink w:anchor="_Toc000115" w:history="1">
        <w:r>
          <w:t xml:space="preserve">Приложение А Спецификация основного оборудования и материалов</w:t>
        </w:r>
        <w:r>
          <w:tab/>
        </w:r>
        <w:r>
          <w:fldChar w:fldCharType="begin"/>
        </w:r>
        <w:r>
          <w:instrText xml:space="preserve"> PAGEREF _Toc000115 \h </w:instrText>
        </w:r>
        <w:r>
          <w:fldChar w:fldCharType="separate"/>
        </w:r>
        <w:r>
          <w:t>12</w:t>
        </w:r>
        <w:r>
          <w:fldChar w:fldCharType="end"/>
        </w:r>
      </w:hyperlink>
      <w:r>
        <w:fldChar w:fldCharType="end"/>
      </w:r>
    </w:p>
    <w:p>
      <w:pPr>
        <w:pStyle w:val="Heading1"/>
        <w:widowControl/>
        <w:ind w:firstLine="0"/>
        <w:jc w:val="center"/>
      </w:pPr>
      <w:bookmarkStart w:id="101" w:name="_Toc000101"/>
      <w:r>
        <w:rPr>
          <w:caps/>
        </w:rPr>
        <w:t>Введение</w:t>
      </w:r>
      <w:bookmarkEnd w:id="101"/>
    </w:p>
    <w:p>
      <w:r>
        <w:t>Учебные помещения относятся к наиболее плотно заполненным помещениям общественных зданий: в классе площадью 60–70 м² одновременно находятся 25–30 человек. При одном лишь проветривании на переменах концентрация диоксида углерода к концу урока нередко превышает 2 000 ppm, что снижает внимание и работоспособность учащихся. Здания с герметичными светопрозрачными конструкциями требуют организованного механического воздухообмена, а рекуперация теплоты удаляемого воздуха позволяет обеспечить его без значительного роста затрат на отопление.</w:t>
      </w:r>
    </w:p>
    <w:p>
      <w:r>
        <w:t>Цель курсового проекта — рассчитать требуемый воздухообмен учебного класса и подобрать систему механической приточно-вытяжной вентиляции, обеспечивающую допустимые параметры микроклимата и качества воздуха.</w:t>
      </w:r>
    </w:p>
    <w:p>
      <w:r>
        <w:t>Для достижения цели решены следующие задачи:</w:t>
      </w:r>
    </w:p>
    <w:p>
      <w:pPr>
        <w:pStyle w:val="Перечисление"/>
      </w:pPr>
      <w:r>
        <w:t>– определены расчётные параметры наружного и внутреннего воздуха;</w:t>
      </w:r>
    </w:p>
    <w:p>
      <w:pPr>
        <w:pStyle w:val="Перечисление"/>
      </w:pPr>
      <w:r>
        <w:t>– рассчитан воздухообмен по нормативному удельному расходу, по ассимиляции диоксида углерода и избытков явной теплоты;</w:t>
      </w:r>
    </w:p>
    <w:p>
      <w:pPr>
        <w:pStyle w:val="Перечисление"/>
      </w:pPr>
      <w:r>
        <w:t>– выполнено моделирование концентрации CO</w:t>
      </w:r>
      <w:r>
        <w:rPr>
          <w:vertAlign w:val="subscript"/>
        </w:rPr>
        <w:t>2</w:t>
      </w:r>
      <w:r>
        <w:t xml:space="preserve"> в течение учебного дня;</w:t>
      </w:r>
    </w:p>
    <w:p>
      <w:pPr>
        <w:pStyle w:val="Перечисление"/>
      </w:pPr>
      <w:r>
        <w:t>– разработана схема системы и выполнен аэродинамический расчёт воздуховодов;</w:t>
      </w:r>
    </w:p>
    <w:p>
      <w:pPr>
        <w:pStyle w:val="Перечисление"/>
      </w:pPr>
      <w:r>
        <w:t>– подобраны приточно-вытяжная установка и воздухораспределители.</w:t>
      </w:r>
    </w:p>
    <w:p>
      <w:pPr>
        <w:pStyle w:val="Heading1"/>
      </w:pPr>
      <w:bookmarkStart w:id="102" w:name="_Toc000102"/>
      <w:r>
        <w:t>1 Расчёт требуемого воздухообмена</w:t>
      </w:r>
      <w:bookmarkEnd w:id="102"/>
    </w:p>
    <w:p>
      <w:pPr>
        <w:pStyle w:val="Heading2"/>
      </w:pPr>
      <w:bookmarkStart w:id="103" w:name="_Toc000103"/>
      <w:r>
        <w:t>1.1 Исходные данные</w:t>
      </w:r>
      <w:bookmarkEnd w:id="103"/>
    </w:p>
    <w:p>
      <w:r>
        <w:t>Учебный класс № 214 школы в г. Энске имеет размеры 9,0 × 7,2 м и высоту 3,4 м: площадь 64,8 м², объём 220,3 м³. В классе 30 учащихся и преподаватель; три окна 1,8 × 2,1 м ориентированы на юго-запад. Режим работы — с 8:30 до 14:10, шесть уроков по 45 мин.</w:t>
      </w:r>
    </w:p>
    <w:p>
      <w:r>
        <w:t>Параметры наружного воздуха приняты по СП 131.13330.2020 [1], внутреннего — по ГОСТ 30494-2011 [2] для помещений категории 2 (умственный труд, учёба) и СП 2.4.3648-20 [3] (таблица 1).</w:t>
      </w:r>
    </w:p>
    <w:p>
      <w:pPr>
        <w:pStyle w:val="Названиетаблицы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1</w:t>
      </w:r>
      <w:r>
        <w:fldChar w:fldCharType="end"/>
      </w:r>
      <w:r>
        <w:t xml:space="preserve"> — Расчётные параметры наружного и внутреннего воздуха</w:t>
      </w:r>
    </w:p>
    <w:tbl>
      <w:tblPr>
        <w:tblStyle w:val="TableGrid"/>
        <w:tblW w:w="918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Column="1" w:firstRow="1" w:lastColumn="0" w:lastRow="0" w:noHBand="0" w:noVBand="1" w:val="04A0"/>
      </w:tblPr>
      <w:tblGrid>
        <w:gridCol w:w="2948"/>
        <w:gridCol w:w="1247"/>
        <w:gridCol w:w="1360"/>
        <w:gridCol w:w="1133"/>
        <w:gridCol w:w="1360"/>
        <w:gridCol w:w="1133"/>
      </w:tblGrid>
      <w:tr>
        <w:trPr>
          <w:cantSplit/>
          <w:tblHeader/>
        </w:trPr>
        <w:tc>
          <w:tcPr>
            <w:tcW w:type="dxa" w:w="2948"/>
            <w:vMerge w:val="restart"/>
            <w:vAlign w:val="center"/>
          </w:tcPr>
          <w:p>
            <w:pPr>
              <w:pStyle w:val="Тексттаблицы"/>
            </w:pPr>
            <w:r>
              <w:t>Период года</w:t>
            </w:r>
          </w:p>
        </w:tc>
        <w:tc>
          <w:tcPr>
            <w:tcW w:type="dxa" w:w="2608"/>
            <w:gridSpan w:val="2"/>
            <w:vAlign w:val="center"/>
          </w:tcPr>
          <w:p>
            <w:pPr>
              <w:pStyle w:val="Тексттаблицы"/>
            </w:pPr>
            <w:r>
              <w:t>Наружный воздух</w:t>
            </w:r>
          </w:p>
        </w:tc>
        <w:tc>
          <w:tcPr>
            <w:tcW w:type="dxa" w:w="3629"/>
            <w:gridSpan w:val="3"/>
            <w:vAlign w:val="center"/>
          </w:tcPr>
          <w:p>
            <w:pPr>
              <w:pStyle w:val="Тексттаблицы"/>
            </w:pPr>
            <w:r>
              <w:t>Внутренний воздух</w:t>
            </w:r>
          </w:p>
        </w:tc>
      </w:tr>
      <w:tr>
        <w:trPr>
          <w:cantSplit/>
          <w:tblHeader/>
        </w:trPr>
        <w:tc>
          <w:tcPr>
            <w:tcW w:type="dxa" w:w="2948"/>
            <w:vMerge/>
            <w:vAlign w:val="center"/>
          </w:tcPr>
          <w:p>
            <w:pPr>
              <w:pStyle w:val="Тексттаблицы"/>
            </w:pPr>
          </w:p>
        </w:tc>
        <w:tc>
          <w:tcPr>
            <w:tcW w:type="dxa" w:w="1247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t</w:t>
            </w:r>
            <w:r>
              <w:rPr>
                <w:vertAlign w:val="subscript"/>
              </w:rPr>
              <w:t>н</w:t>
            </w:r>
            <w:r>
              <w:t>, °C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I</w:t>
            </w:r>
            <w:r>
              <w:rPr>
                <w:vertAlign w:val="subscript"/>
              </w:rPr>
              <w:t>н</w:t>
            </w:r>
            <w:r>
              <w:t>, кДж/кг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t</w:t>
            </w:r>
            <w:r>
              <w:rPr>
                <w:vertAlign w:val="subscript"/>
              </w:rPr>
              <w:t>в</w:t>
            </w:r>
            <w:r>
              <w:t>, °C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t</w:t>
            </w:r>
            <w:r>
              <w:rPr>
                <w:vertAlign w:val="subscript"/>
              </w:rPr>
              <w:t>опт</w:t>
            </w:r>
            <w:r>
              <w:t>, °C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</w:pPr>
            <w:r>
              <w:t>φ</w:t>
            </w:r>
            <w:r>
              <w:rPr>
                <w:vertAlign w:val="subscript"/>
              </w:rPr>
              <w:t>в</w:t>
            </w:r>
            <w:r>
              <w:t>, %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Тексттаблицы"/>
              <w:jc w:val="left"/>
            </w:pPr>
            <w:r>
              <w:t>Тёплый (параметры А)</w:t>
            </w:r>
          </w:p>
        </w:tc>
        <w:tc>
          <w:tcPr>
            <w:tcW w:type="dxa" w:w="1247"/>
            <w:vAlign w:val="center"/>
          </w:tcPr>
          <w:p>
            <w:pPr>
              <w:pStyle w:val="Тексттаблицы"/>
              <w:jc w:val="center"/>
            </w:pPr>
            <w:r>
              <w:t>22,8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49,6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24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23–25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30–60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Тексттаблицы"/>
              <w:jc w:val="left"/>
            </w:pPr>
            <w:r>
              <w:t>Переходный</w:t>
            </w:r>
          </w:p>
        </w:tc>
        <w:tc>
          <w:tcPr>
            <w:tcW w:type="dxa" w:w="1247"/>
            <w:vAlign w:val="center"/>
          </w:tcPr>
          <w:p>
            <w:pPr>
              <w:pStyle w:val="Тексттаблицы"/>
              <w:jc w:val="center"/>
            </w:pPr>
            <w:r>
              <w:t>10,0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26,5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20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19–21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30–45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Тексттаблицы"/>
              <w:jc w:val="left"/>
            </w:pPr>
            <w:r>
              <w:t>Холодный (параметры Б)</w:t>
            </w:r>
          </w:p>
        </w:tc>
        <w:tc>
          <w:tcPr>
            <w:tcW w:type="dxa" w:w="1247"/>
            <w:vAlign w:val="center"/>
          </w:tcPr>
          <w:p>
            <w:pPr>
              <w:pStyle w:val="Тексттаблицы"/>
              <w:jc w:val="center"/>
            </w:pPr>
            <w:r>
              <w:t>−25,0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−24,6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20</w:t>
            </w:r>
          </w:p>
        </w:tc>
        <w:tc>
          <w:tcPr>
            <w:tcW w:type="dxa" w:w="1361"/>
            <w:vAlign w:val="center"/>
          </w:tcPr>
          <w:p>
            <w:pPr>
              <w:pStyle w:val="Тексттаблицы"/>
              <w:jc w:val="center"/>
            </w:pPr>
            <w:r>
              <w:t>19–21</w:t>
            </w:r>
          </w:p>
        </w:tc>
        <w:tc>
          <w:tcPr>
            <w:tcW w:type="dxa" w:w="1134"/>
            <w:vAlign w:val="center"/>
          </w:tcPr>
          <w:p>
            <w:pPr>
              <w:pStyle w:val="Тексттаблицы"/>
              <w:jc w:val="center"/>
            </w:pPr>
            <w:r>
              <w:t>30–45</w:t>
            </w:r>
          </w:p>
        </w:tc>
      </w:tr>
    </w:tbl>
    <w:p>
      <w:pPr>
        <w:pStyle w:val="Тексттаблицы"/>
        <w:widowControl/>
        <w:spacing w:line="140" w:before="0" w:after="0" w:lineRule="exact"/>
      </w:pPr>
    </w:p>
    <w:p>
      <w:pPr>
        <w:pStyle w:val="Heading2"/>
      </w:pPr>
      <w:bookmarkStart w:id="104" w:name="_Toc000104"/>
      <w:r>
        <w:t>1.2 Воздухообмен по нормативному расходу и по диоксиду углерода</w:t>
      </w:r>
      <w:bookmarkEnd w:id="104"/>
    </w:p>
    <w:p>
      <w:r>
        <w:t>Минимальный расход наружного воздуха по удельной норме на одного человека, м³/ч, определяют по формуле</w:t>
      </w:r>
    </w:p>
    <w:p>
      <w:pPr>
        <w:pStyle w:val="Формула"/>
      </w:pPr>
      <w:r>
        <w:tab/>
      </w:r>
      <m:oMath>
        <m:sSub>
          <m:e>
            <m:r>
              <m:t xml:space="preserve">L</m:t>
            </m:r>
          </m:e>
          <m:sub>
            <m:r>
              <m:rPr>
                <m:sty m:val="p"/>
              </m:rPr>
              <m:t xml:space="preserve">н</m:t>
            </m:r>
          </m:sub>
        </m:sSub>
        <m:r>
          <m:rPr>
            <m:sty m:val="p"/>
          </m:rPr>
          <m:t xml:space="preserve">=</m:t>
        </m:r>
        <m:r>
          <m:t xml:space="preserve">N</m:t>
        </m:r>
        <m:r>
          <m:rPr>
            <m:sty m:val="p"/>
          </m:rPr>
          <m:t xml:space="preserve">·</m:t>
        </m:r>
        <m:r>
          <m:t xml:space="preserve">l</m:t>
        </m:r>
      </m:oMath>
      <w:r>
        <w:tab/>
      </w:r>
      <w:r>
        <w:t>(1)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N</w:t>
      </w:r>
      <w:r>
        <w:t xml:space="preserve"> — число людей в помещении, </w:t>
      </w:r>
      <w:r>
        <w:rPr>
          <w:i/>
        </w:rPr>
        <w:t>N</w:t>
      </w:r>
      <w:r>
        <w:t xml:space="preserve"> = 31 чел.;</w:t>
      </w:r>
    </w:p>
    <w:p>
      <w:pPr>
        <w:pStyle w:val="Пояснениеформулы"/>
        <w:widowControl/>
        <w:spacing w:after="60"/>
        <w:ind w:firstLine="0" w:left="510"/>
      </w:pPr>
      <w:r>
        <w:rPr>
          <w:i/>
        </w:rPr>
        <w:t>l</w:t>
      </w:r>
      <w:r>
        <w:t xml:space="preserve"> — удельный расход наружного воздуха (по заданию), 20 м³/(ч·чел.).</w:t>
      </w:r>
    </w:p>
    <w:p>
      <w:r>
        <w:rPr>
          <w:i/>
        </w:rPr>
        <w:t>L</w:t>
      </w:r>
      <w:r>
        <w:rPr>
          <w:vertAlign w:val="subscript"/>
        </w:rPr>
        <w:t>н</w:t>
      </w:r>
      <w:r>
        <w:t xml:space="preserve"> = 31 · 20 = 620 м³/ч.</w:t>
      </w:r>
    </w:p>
    <w:p>
      <w:r>
        <w:t>Расход наружного воздуха для ассимиляции диоксида углерода, выделяемого людьми, м³/ч, вычисляют по формуле [4]</w:t>
      </w:r>
    </w:p>
    <w:p>
      <w:pPr>
        <w:pStyle w:val="Формула"/>
      </w:pPr>
      <w:r>
        <w:tab/>
      </w:r>
      <m:oMath>
        <m:sSub>
          <m:e>
            <m:r>
              <m:t xml:space="preserve">L</m:t>
            </m:r>
          </m:e>
          <m:sub>
            <m:r>
              <m:rPr>
                <m:sty m:val="p"/>
              </m:rPr>
              <m:t xml:space="preserve">CO₂</m:t>
            </m:r>
          </m:sub>
        </m:sSub>
        <m:r>
          <m:rPr>
            <m:sty m:val="p"/>
          </m:rPr>
          <m:t xml:space="preserve">=</m:t>
        </m:r>
        <m:f>
          <m:num>
            <m:r>
              <m:t xml:space="preserve">G</m:t>
            </m:r>
          </m:num>
          <m:den>
            <m:sSub>
              <m:e>
                <m:r>
                  <m:t xml:space="preserve">c</m:t>
                </m:r>
              </m:e>
              <m:sub>
                <m:r>
                  <m:rPr>
                    <m:sty m:val="p"/>
                  </m:rPr>
                  <m:t xml:space="preserve">в</m:t>
                </m:r>
              </m:sub>
            </m:sSub>
            <m:r>
              <m:rPr>
                <m:sty m:val="p"/>
              </m:rPr>
              <m:t xml:space="preserve">−</m:t>
            </m:r>
            <m:sSub>
              <m:e>
                <m:r>
                  <m:t xml:space="preserve">c</m:t>
                </m:r>
              </m:e>
              <m:sub>
                <m:r>
                  <m:rPr>
                    <m:sty m:val="p"/>
                  </m:rPr>
                  <m:t xml:space="preserve">н</m:t>
                </m:r>
              </m:sub>
            </m:sSub>
          </m:den>
        </m:f>
      </m:oMath>
      <w:r>
        <w:tab/>
      </w:r>
      <w:r>
        <w:t>(2)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G</w:t>
      </w:r>
      <w:r>
        <w:t xml:space="preserve"> — выделение CO</w:t>
      </w:r>
      <w:r>
        <w:rPr>
          <w:vertAlign w:val="subscript"/>
        </w:rPr>
        <w:t>2</w:t>
      </w:r>
      <w:r>
        <w:t xml:space="preserve"> людьми: 30 учащихся по 18 л/ч и преподаватель 25 л/ч, </w:t>
      </w:r>
      <w:r>
        <w:rPr>
          <w:i/>
        </w:rPr>
        <w:t>G</w:t>
      </w:r>
      <w:r>
        <w:t xml:space="preserve"> = 565 л/ч;</w:t>
      </w:r>
    </w:p>
    <w:p>
      <w:pPr>
        <w:pStyle w:val="Пояснениеформулы"/>
        <w:widowControl/>
        <w:ind w:firstLine="0" w:left="510"/>
      </w:pPr>
      <w:r>
        <w:rPr>
          <w:i/>
        </w:rPr>
        <w:t>c</w:t>
      </w:r>
      <w:r>
        <w:rPr>
          <w:vertAlign w:val="subscript"/>
        </w:rPr>
        <w:t>в</w:t>
      </w:r>
      <w:r>
        <w:t xml:space="preserve"> — допустимая концентрация CO</w:t>
      </w:r>
      <w:r>
        <w:rPr>
          <w:vertAlign w:val="subscript"/>
        </w:rPr>
        <w:t>2</w:t>
      </w:r>
      <w:r>
        <w:t xml:space="preserve"> для класса 2 [2], 1,05 л/м³;</w:t>
      </w:r>
    </w:p>
    <w:p>
      <w:pPr>
        <w:pStyle w:val="Пояснениеформулы"/>
        <w:widowControl/>
        <w:spacing w:after="60"/>
        <w:ind w:firstLine="0" w:left="510"/>
      </w:pPr>
      <w:r>
        <w:rPr>
          <w:i/>
        </w:rPr>
        <w:t>c</w:t>
      </w:r>
      <w:r>
        <w:rPr>
          <w:vertAlign w:val="subscript"/>
        </w:rPr>
        <w:t>н</w:t>
      </w:r>
      <w:r>
        <w:t xml:space="preserve"> — концентрация CO</w:t>
      </w:r>
      <w:r>
        <w:rPr>
          <w:vertAlign w:val="subscript"/>
        </w:rPr>
        <w:t>2</w:t>
      </w:r>
      <w:r>
        <w:t xml:space="preserve"> в наружном воздухе, 0,45 л/м³.</w:t>
      </w:r>
    </w:p>
    <w:p>
      <w:r>
        <w:rPr>
          <w:i/>
        </w:rPr>
        <w:t>L</w:t>
      </w:r>
      <w:r>
        <w:rPr>
          <w:vertAlign w:val="subscript"/>
        </w:rPr>
        <w:t>CO₂</w:t>
      </w:r>
      <w:r>
        <w:t xml:space="preserve"> = 565 / (1,05 − 0,45) = 942 м³/ч.</w:t>
      </w:r>
    </w:p>
    <w:p>
      <w:pPr>
        <w:pStyle w:val="Heading2"/>
      </w:pPr>
      <w:bookmarkStart w:id="105" w:name="_Toc000105"/>
      <w:r>
        <w:t>1.3 Воздухообмен по избыткам явной теплоты</w:t>
      </w:r>
      <w:bookmarkEnd w:id="105"/>
    </w:p>
    <w:p>
      <w:pPr>
        <w:pStyle w:val="Heading3"/>
      </w:pPr>
      <w:bookmarkStart w:id="106" w:name="_Toc000106"/>
      <w:r>
        <w:t>1.3.1 Теплопоступления в тёплый период года</w:t>
      </w:r>
      <w:bookmarkEnd w:id="106"/>
    </w:p>
    <w:p>
      <w:r>
        <w:t>Наибольшие теплоизбытки — в тёплый период учебного года (май, сентябрь) при полной наполняемости и солнечной радиации; теплопоступления определены по [4] (таблица 2).</w:t>
      </w:r>
    </w:p>
    <w:p>
      <w:pPr>
        <w:pStyle w:val="Названиетаблицы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2</w:t>
      </w:r>
      <w:r>
        <w:fldChar w:fldCharType="end"/>
      </w:r>
      <w:r>
        <w:t xml:space="preserve"> — Теплопоступления в учебный класс в тёплый период года</w:t>
      </w:r>
    </w:p>
    <w:tbl>
      <w:tblPr>
        <w:tblStyle w:val="TableGrid"/>
        <w:tblW w:w="918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Column="1" w:firstRow="1" w:lastColumn="0" w:lastRow="0" w:noHBand="0" w:noVBand="1" w:val="04A0"/>
      </w:tblPr>
      <w:tblGrid>
        <w:gridCol w:w="4875"/>
        <w:gridCol w:w="2721"/>
        <w:gridCol w:w="1587"/>
      </w:tblGrid>
      <w:tr>
        <w:trPr>
          <w:cantSplit/>
          <w:tblHeader/>
        </w:trPr>
        <w:tc>
          <w:tcPr>
            <w:tcW w:type="dxa" w:w="4876"/>
            <w:vAlign w:val="center"/>
          </w:tcPr>
          <w:p>
            <w:pPr>
              <w:pStyle w:val="Тексттаблицы"/>
            </w:pPr>
            <w:r>
              <w:t>Источник теплоты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</w:pPr>
            <w:r>
              <w:t>Расчёт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Q</w:t>
            </w:r>
            <w:r>
              <w:t>, Вт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Учащиеся (явная теплота)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30 × 60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1 800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Преподаватель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1 × 85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85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Освещение светодиодное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64,8 × 7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454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Оборудование (панель, ПК)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250 + 150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400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Солнечная радиация через окна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11,34 × 180 × 0,42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857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t>Теплопоступления через наружную стену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  <w:r>
              <w:t>по расчёту</w:t>
            </w: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t>120</w:t>
            </w:r>
          </w:p>
        </w:tc>
      </w:tr>
      <w:tr>
        <w:trPr>
          <w:cantSplit/>
        </w:trPr>
        <w:tc>
          <w:tcPr>
            <w:tcW w:type="dxa" w:w="4876"/>
            <w:vAlign w:val="center"/>
          </w:tcPr>
          <w:p>
            <w:pPr>
              <w:pStyle w:val="Тексттаблицы"/>
              <w:jc w:val="left"/>
            </w:pPr>
            <w:r>
              <w:rPr>
                <w:b/>
              </w:rPr>
              <w:t xml:space="preserve">Итого избытки явной теплоты </w:t>
            </w:r>
            <w:r>
              <w:rPr>
                <w:b/>
                <w:i/>
              </w:rPr>
              <w:t>Q</w:t>
            </w:r>
            <w:r>
              <w:rPr>
                <w:b/>
                <w:vertAlign w:val="subscript"/>
              </w:rPr>
              <w:t>изб</w:t>
            </w:r>
          </w:p>
        </w:tc>
        <w:tc>
          <w:tcPr>
            <w:tcW w:type="dxa" w:w="2721"/>
            <w:vAlign w:val="center"/>
          </w:tcPr>
          <w:p>
            <w:pPr>
              <w:pStyle w:val="Тексттаблицы"/>
              <w:jc w:val="center"/>
            </w:pPr>
          </w:p>
        </w:tc>
        <w:tc>
          <w:tcPr>
            <w:tcW w:type="dxa" w:w="1587"/>
            <w:vAlign w:val="center"/>
          </w:tcPr>
          <w:p>
            <w:pPr>
              <w:pStyle w:val="Тексттаблицы"/>
              <w:jc w:val="center"/>
            </w:pPr>
            <w:r>
              <w:rPr>
                <w:b/>
              </w:rPr>
              <w:t>3 716</w:t>
            </w:r>
          </w:p>
        </w:tc>
      </w:tr>
    </w:tbl>
    <w:p>
      <w:pPr>
        <w:pStyle w:val="Тексттаблицы"/>
        <w:widowControl/>
        <w:spacing w:line="140" w:before="0" w:after="0" w:lineRule="exact"/>
      </w:pPr>
    </w:p>
    <w:p>
      <w:pPr>
        <w:pStyle w:val="Heading3"/>
      </w:pPr>
      <w:bookmarkStart w:id="107" w:name="_Toc000107"/>
      <w:r>
        <w:t>1.3.2 Расход воздуха для ассимиляции теплоизбытков</w:t>
      </w:r>
      <w:bookmarkEnd w:id="107"/>
    </w:p>
    <w:p>
      <w:r>
        <w:t xml:space="preserve">В тёплый период приточный воздух охлаждается в секции охлаждения установки до </w:t>
      </w:r>
      <w:r>
        <w:rPr>
          <w:i/>
        </w:rPr>
        <w:t>t</w:t>
      </w:r>
      <w:r>
        <w:rPr>
          <w:vertAlign w:val="subscript"/>
        </w:rPr>
        <w:t>п</w:t>
      </w:r>
      <w:r>
        <w:t xml:space="preserve"> = 16 °C. Температуру удаляемого воздуха, °C, определяют по формуле</w:t>
      </w:r>
    </w:p>
    <w:p>
      <w:pPr>
        <w:pStyle w:val="Формула"/>
      </w:pPr>
      <w:r>
        <w:tab/>
      </w:r>
      <m:oMath>
        <m:sSub>
          <m:e>
            <m:r>
              <m:t xml:space="preserve">t</m:t>
            </m:r>
          </m:e>
          <m:sub>
            <m:r>
              <m:rPr>
                <m:sty m:val="p"/>
              </m:rPr>
              <m:t xml:space="preserve">у</m:t>
            </m:r>
          </m:sub>
        </m:sSub>
        <m:r>
          <m:rPr>
            <m:sty m:val="p"/>
          </m:rPr>
          <m:t xml:space="preserve">=</m:t>
        </m:r>
        <m:sSub>
          <m:e>
            <m:r>
              <m:t xml:space="preserve">t</m:t>
            </m:r>
          </m:e>
          <m:sub>
            <m:r>
              <m:rPr>
                <m:sty m:val="p"/>
              </m:rPr>
              <m:t xml:space="preserve">р.з</m:t>
            </m:r>
          </m:sub>
        </m:sSub>
        <m:r>
          <m:rPr>
            <m:sty m:val="p"/>
          </m:rPr>
          <m:t xml:space="preserve">+</m:t>
        </m:r>
        <m:r>
          <m:rPr>
            <m:sty m:val="p"/>
          </m:rPr>
          <m:t xml:space="preserve">grad</m:t>
        </m:r>
        <m:r>
          <m:t xml:space="preserve">t</m:t>
        </m:r>
        <m:r>
          <m:rPr>
            <m:sty m:val="p"/>
          </m:rPr>
          <m:t xml:space="preserve">·</m:t>
        </m:r>
        <m:d>
          <m:dPr>
            <m:begChr m:val="("/>
            <m:endChr m:val=")"/>
          </m:dPr>
          <m:e>
            <m:r>
              <m:t xml:space="preserve">H</m:t>
            </m:r>
            <m:r>
              <m:rPr>
                <m:sty m:val="p"/>
              </m:rPr>
              <m:t xml:space="preserve">−</m:t>
            </m:r>
            <m:sSub>
              <m:e>
                <m:r>
                  <m:t xml:space="preserve">h</m:t>
                </m:r>
              </m:e>
              <m:sub>
                <m:r>
                  <m:rPr>
                    <m:sty m:val="p"/>
                  </m:rPr>
                  <m:t xml:space="preserve">р.з</m:t>
                </m:r>
              </m:sub>
            </m:sSub>
          </m:e>
        </m:d>
      </m:oMath>
      <w:r>
        <w:tab/>
      </w:r>
      <w:r>
        <w:t>(3)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t</w:t>
      </w:r>
      <w:r>
        <w:rPr>
          <w:vertAlign w:val="subscript"/>
        </w:rPr>
        <w:t>р.з</w:t>
      </w:r>
      <w:r>
        <w:t xml:space="preserve"> — температура воздуха в рабочей зоне, 24 °C;</w:t>
      </w:r>
    </w:p>
    <w:p>
      <w:pPr>
        <w:pStyle w:val="Пояснениеформулы"/>
        <w:widowControl/>
        <w:ind w:firstLine="0" w:left="510"/>
      </w:pPr>
      <w:r>
        <w:t xml:space="preserve">grad </w:t>
      </w:r>
      <w:r>
        <w:rPr>
          <w:i/>
        </w:rPr>
        <w:t>t</w:t>
      </w:r>
      <w:r>
        <w:t xml:space="preserve"> — градиент температуры по высоте помещения, 0,8 °C/м;</w:t>
      </w:r>
    </w:p>
    <w:p>
      <w:pPr>
        <w:pStyle w:val="Пояснениеформулы"/>
        <w:widowControl/>
        <w:ind w:firstLine="0" w:left="510"/>
      </w:pPr>
      <w:r>
        <w:rPr>
          <w:i/>
        </w:rPr>
        <w:t>H</w:t>
      </w:r>
      <w:r>
        <w:t xml:space="preserve"> — высота помещения, 3,4 м;</w:t>
      </w:r>
    </w:p>
    <w:p>
      <w:pPr>
        <w:pStyle w:val="Пояснениеформулы"/>
        <w:widowControl/>
        <w:spacing w:after="60"/>
        <w:ind w:firstLine="0" w:left="510"/>
      </w:pPr>
      <w:r>
        <w:rPr>
          <w:i/>
        </w:rPr>
        <w:t>h</w:t>
      </w:r>
      <w:r>
        <w:rPr>
          <w:vertAlign w:val="subscript"/>
        </w:rPr>
        <w:t>р.з</w:t>
      </w:r>
      <w:r>
        <w:t xml:space="preserve"> — высота рабочей зоны для сидящих людей, 1,5 м.</w:t>
      </w:r>
    </w:p>
    <w:p>
      <w:r>
        <w:rPr>
          <w:i/>
        </w:rPr>
        <w:t>t</w:t>
      </w:r>
      <w:r>
        <w:rPr>
          <w:vertAlign w:val="subscript"/>
        </w:rPr>
        <w:t>у</w:t>
      </w:r>
      <w:r>
        <w:t xml:space="preserve"> = 24 + 0,8 · (3,4 − 1,5) = 25,5 °C.</w:t>
      </w:r>
    </w:p>
    <w:p>
      <w:r>
        <w:t>Расход приточного воздуха для ассимиляции избытков явной теплоты, м³/ч,</w:t>
      </w:r>
    </w:p>
    <w:p>
      <w:pPr>
        <w:pStyle w:val="Формула"/>
      </w:pPr>
      <w:r>
        <w:tab/>
      </w:r>
      <m:oMath>
        <m:sSub>
          <m:e>
            <m:r>
              <m:t xml:space="preserve">L</m:t>
            </m:r>
          </m:e>
          <m:sub>
            <m:r>
              <m:t xml:space="preserve">Q</m:t>
            </m:r>
          </m:sub>
        </m:sSub>
        <m:r>
          <m:rPr>
            <m:sty m:val="p"/>
          </m:rPr>
          <m:t xml:space="preserve">=</m:t>
        </m:r>
        <m:f>
          <m:num>
            <m:r>
              <m:rPr>
                <m:sty m:val="p"/>
              </m:rPr>
              <m:t xml:space="preserve">3,6</m:t>
            </m:r>
            <m:r>
              <m:rPr>
                <m:sty m:val="p"/>
              </m:rPr>
              <m:t xml:space="preserve">·</m:t>
            </m:r>
            <m:sSub>
              <m:e>
                <m:r>
                  <m:t xml:space="preserve">Q</m:t>
                </m:r>
              </m:e>
              <m:sub>
                <m:r>
                  <m:rPr>
                    <m:sty m:val="p"/>
                  </m:rPr>
                  <m:t xml:space="preserve">изб</m:t>
                </m:r>
              </m:sub>
            </m:sSub>
          </m:num>
          <m:den>
            <m:r>
              <m:t xml:space="preserve">c</m:t>
            </m:r>
            <m:r>
              <m:rPr>
                <m:sty m:val="p"/>
              </m:rPr>
              <m:t xml:space="preserve">·</m:t>
            </m:r>
            <m:r>
              <m:t xml:space="preserve">ρ</m:t>
            </m:r>
            <m:r>
              <m:rPr>
                <m:sty m:val="p"/>
              </m:rPr>
              <m:t xml:space="preserve">·</m:t>
            </m:r>
            <m:d>
              <m:dPr>
                <m:begChr m:val="("/>
                <m:endChr m:val=")"/>
              </m:dPr>
              <m:e>
                <m:sSub>
                  <m:e>
                    <m:r>
                      <m:t xml:space="preserve">t</m:t>
                    </m:r>
                  </m:e>
                  <m:sub>
                    <m:r>
                      <m:rPr>
                        <m:sty m:val="p"/>
                      </m:rPr>
                      <m:t xml:space="preserve">у</m:t>
                    </m:r>
                  </m:sub>
                </m:sSub>
                <m:r>
                  <m:rPr>
                    <m:sty m:val="p"/>
                  </m:rPr>
                  <m:t xml:space="preserve">−</m:t>
                </m:r>
                <m:sSub>
                  <m:e>
                    <m:r>
                      <m:t xml:space="preserve">t</m:t>
                    </m:r>
                  </m:e>
                  <m:sub>
                    <m:r>
                      <m:rPr>
                        <m:sty m:val="p"/>
                      </m:rPr>
                      <m:t xml:space="preserve">п</m:t>
                    </m:r>
                  </m:sub>
                </m:sSub>
              </m:e>
            </m:d>
          </m:den>
        </m:f>
      </m:oMath>
      <w:r>
        <w:tab/>
      </w:r>
      <w:r>
        <w:t>(4)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Q</w:t>
      </w:r>
      <w:r>
        <w:rPr>
          <w:vertAlign w:val="subscript"/>
        </w:rPr>
        <w:t>изб</w:t>
      </w:r>
      <w:r>
        <w:t xml:space="preserve"> — избытки явной теплоты, Вт (таблица 2);</w:t>
      </w:r>
    </w:p>
    <w:p>
      <w:pPr>
        <w:pStyle w:val="Пояснениеформулы"/>
        <w:widowControl/>
        <w:ind w:firstLine="0" w:left="510"/>
      </w:pPr>
      <w:r>
        <w:rPr>
          <w:i/>
        </w:rPr>
        <w:t>c</w:t>
      </w:r>
      <w:r>
        <w:t xml:space="preserve"> — удельная теплоёмкость воздуха, 1,005 кДж/(кг·°C);</w:t>
      </w:r>
    </w:p>
    <w:p>
      <w:pPr>
        <w:pStyle w:val="Пояснениеформулы"/>
        <w:widowControl/>
        <w:ind w:firstLine="0" w:left="510"/>
      </w:pPr>
      <w:r>
        <w:t>ρ — плотность воздуха, 1,2 кг/м³;</w:t>
      </w:r>
    </w:p>
    <w:p>
      <w:pPr>
        <w:pStyle w:val="Пояснениеформулы"/>
        <w:widowControl/>
        <w:spacing w:after="60"/>
        <w:ind w:firstLine="0" w:left="510"/>
      </w:pPr>
      <w:r>
        <w:rPr>
          <w:i/>
        </w:rPr>
        <w:t>t</w:t>
      </w:r>
      <w:r>
        <w:rPr>
          <w:vertAlign w:val="subscript"/>
        </w:rPr>
        <w:t>п</w:t>
      </w:r>
      <w:r>
        <w:t xml:space="preserve"> — температура приточного воздуха, °C.</w:t>
      </w:r>
    </w:p>
    <w:p>
      <w:r>
        <w:rPr>
          <w:i/>
        </w:rPr>
        <w:t>L</w:t>
      </w:r>
      <w:r>
        <w:rPr>
          <w:vertAlign w:val="subscript"/>
        </w:rPr>
        <w:t>Q</w:t>
      </w:r>
      <w:r>
        <w:t xml:space="preserve"> = 3,6 · 3 716 / (1,005 · 1,2 · (25,5 − 16)) = 1 168 м³/ч.</w:t>
      </w:r>
    </w:p>
    <w:p>
      <w:pPr>
        <w:pStyle w:val="Heading2"/>
      </w:pPr>
      <w:bookmarkStart w:id="108" w:name="_Toc000108"/>
      <w:r>
        <w:t>1.4 Расчётный воздухообмен</w:t>
      </w:r>
      <w:bookmarkEnd w:id="108"/>
    </w:p>
    <w:p>
      <w:r>
        <w:t>Расход по нормативной норме — 620 м³/ч, по CO</w:t>
      </w:r>
      <w:r>
        <w:rPr>
          <w:vertAlign w:val="subscript"/>
        </w:rPr>
        <w:t>2</w:t>
      </w:r>
      <w:r>
        <w:t xml:space="preserve"> — 942 м³/ч, по теплоизбыткам — 1 168 м³/ч (определяющий). Принят расход притока и вытяжки </w:t>
      </w:r>
      <w:r>
        <w:rPr>
          <w:i/>
        </w:rPr>
        <w:t>L</w:t>
      </w:r>
      <w:r>
        <w:t xml:space="preserve"> = 1 200 м³/ч: 5,4 ч</w:t>
      </w:r>
      <w:r>
        <w:rPr>
          <w:vertAlign w:val="superscript"/>
        </w:rPr>
        <w:t>−1</w:t>
      </w:r>
      <w:r>
        <w:t>, 39 м³/ч на человека. По балансу CO</w:t>
      </w:r>
      <w:r>
        <w:rPr>
          <w:vertAlign w:val="subscript"/>
        </w:rPr>
        <w:t>2</w:t>
      </w:r>
      <w:r>
        <w:t xml:space="preserve"> концентрация в течение дня не превышает 920 ppm; без механической вентиляции (проветривание на переменах, инфильтрация 0,5 ч</w:t>
      </w:r>
      <w:r>
        <w:rPr>
          <w:vertAlign w:val="superscript"/>
        </w:rPr>
        <w:t>−1</w:t>
      </w:r>
      <w:r>
        <w:t>) она достигает 2 900 ppm (рисунок 1).</w:t>
      </w:r>
    </w:p>
    <w:p>
      <w:pPr>
        <w:pStyle w:val="Рисунок"/>
      </w:pPr>
      <w:r>
        <w:drawing>
          <wp:inline xmlns:a="http://schemas.openxmlformats.org/drawingml/2006/main" xmlns:pic="http://schemas.openxmlformats.org/drawingml/2006/picture">
            <wp:extent cx="5760000" cy="23021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co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02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Подписьрисунка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1</w:t>
      </w:r>
      <w:r>
        <w:fldChar w:fldCharType="end"/>
      </w:r>
      <w:r>
        <w:t xml:space="preserve"> — Концентрация CO</w:t>
      </w:r>
      <w:r>
        <w:rPr>
          <w:vertAlign w:val="subscript"/>
        </w:rPr>
        <w:t>2</w:t>
      </w:r>
      <w:r>
        <w:t xml:space="preserve"> в учебном классе в течение учебного дня</w:t>
      </w:r>
    </w:p>
    <w:p>
      <w:pPr>
        <w:pStyle w:val="Heading1"/>
      </w:pPr>
      <w:bookmarkStart w:id="109" w:name="_Toc000109"/>
      <w:r>
        <w:t>2 Система вентиляции</w:t>
      </w:r>
      <w:bookmarkEnd w:id="109"/>
    </w:p>
    <w:p>
      <w:pPr>
        <w:pStyle w:val="Heading2"/>
      </w:pPr>
      <w:bookmarkStart w:id="110" w:name="_Toc000110"/>
      <w:r>
        <w:t>2.1 Конструктивная схема</w:t>
      </w:r>
      <w:bookmarkEnd w:id="110"/>
    </w:p>
    <w:p>
      <w:r>
        <w:t>Принята система П1/В1 по СП 60.13330.2020 [5] с установкой ПВУ-1 за потолком коридора: четыре диффузора по 300 м³/ч, три вытяжные решётки, огнезадерживающие клапаны (рисунок 2; обозначения по ГОСТ 21.602-2016 [6]).</w:t>
      </w:r>
    </w:p>
    <w:p>
      <w:pPr>
        <w:pStyle w:val="Рисунок"/>
      </w:pPr>
      <w:r>
        <w:drawing>
          <wp:inline xmlns:a="http://schemas.openxmlformats.org/drawingml/2006/main" xmlns:pic="http://schemas.openxmlformats.org/drawingml/2006/picture">
            <wp:extent cx="4500000" cy="31497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sche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14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Подписьрисунка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2</w:t>
      </w:r>
      <w:r>
        <w:fldChar w:fldCharType="end"/>
      </w:r>
      <w:r>
        <w:t xml:space="preserve"> — Схема системы вентиляции П1/В1, план</w:t>
      </w:r>
    </w:p>
    <w:p>
      <w:pPr>
        <w:pStyle w:val="Heading2"/>
      </w:pPr>
      <w:bookmarkStart w:id="111" w:name="_Toc000111"/>
      <w:r>
        <w:t>2.2 Аэродинамический расчёт</w:t>
      </w:r>
      <w:bookmarkEnd w:id="111"/>
    </w:p>
    <w:p>
      <w:r>
        <w:t>Расчёт выполнен методом удельных потерь давления [7] для магистрали от наиболее удалённого диффузора до воздухозаборной решётки. Потери давления на участке, Па,</w:t>
      </w:r>
    </w:p>
    <w:p>
      <w:pPr>
        <w:pStyle w:val="Формула"/>
      </w:pPr>
      <w:r>
        <w:tab/>
      </w:r>
      <m:oMath>
        <m:r>
          <m:rPr>
            <m:sty m:val="p"/>
          </m:rPr>
          <m:t xml:space="preserve">Δ</m:t>
        </m:r>
        <m:r>
          <m:t xml:space="preserve">P</m:t>
        </m:r>
        <m:r>
          <m:rPr>
            <m:sty m:val="p"/>
          </m:rPr>
          <m:t xml:space="preserve">=</m:t>
        </m:r>
        <m:r>
          <m:t xml:space="preserve">R</m:t>
        </m:r>
        <m:r>
          <m:rPr>
            <m:sty m:val="p"/>
          </m:rPr>
          <m:t xml:space="preserve">·</m:t>
        </m:r>
        <m:r>
          <m:t xml:space="preserve">l</m:t>
        </m:r>
        <m:r>
          <m:rPr>
            <m:sty m:val="p"/>
          </m:rPr>
          <m:t xml:space="preserve">+</m:t>
        </m:r>
        <m:r>
          <m:rPr>
            <m:sty m:val="p"/>
          </m:rPr>
          <m:t xml:space="preserve">Σ</m:t>
        </m:r>
        <m:r>
          <m:t xml:space="preserve">ζ</m:t>
        </m:r>
        <m:r>
          <m:rPr>
            <m:sty m:val="p"/>
          </m:rPr>
          <m:t xml:space="preserve">·</m:t>
        </m:r>
        <m:f>
          <m:num>
            <m:r>
              <m:t xml:space="preserve">ρ</m:t>
            </m:r>
            <m:sSup>
              <m:e>
                <m:r>
                  <m:t xml:space="preserve">v</m:t>
                </m:r>
              </m:e>
              <m:sup>
                <m:r>
                  <m:rPr>
                    <m:sty m:val="p"/>
                  </m:rPr>
                  <m:t xml:space="preserve">2</m:t>
                </m:r>
              </m:sup>
            </m:sSup>
          </m:num>
          <m:den>
            <m:r>
              <m:rPr>
                <m:sty m:val="p"/>
              </m:rPr>
              <m:t xml:space="preserve">2</m:t>
            </m:r>
          </m:den>
        </m:f>
      </m:oMath>
      <w:r>
        <w:tab/>
      </w:r>
      <w:r>
        <w:t>(5)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R</w:t>
      </w:r>
      <w:r>
        <w:t xml:space="preserve"> — удельные потери давления на трение (формула Альтшуля), Па/м;</w:t>
      </w:r>
    </w:p>
    <w:p>
      <w:pPr>
        <w:pStyle w:val="Пояснениеформулы"/>
        <w:widowControl/>
        <w:ind w:firstLine="0" w:left="510"/>
      </w:pPr>
      <w:r>
        <w:rPr>
          <w:i/>
        </w:rPr>
        <w:t>l</w:t>
      </w:r>
      <w:r>
        <w:t xml:space="preserve"> — длина участка, м;</w:t>
      </w:r>
    </w:p>
    <w:p>
      <w:pPr>
        <w:pStyle w:val="Пояснениеформулы"/>
        <w:widowControl/>
        <w:ind w:firstLine="0" w:left="510"/>
      </w:pPr>
      <w:r>
        <w:t>Σζ — сумма коэффициентов местных сопротивлений участка;</w:t>
      </w:r>
    </w:p>
    <w:p>
      <w:pPr>
        <w:pStyle w:val="Пояснениеформулы"/>
        <w:widowControl/>
        <w:spacing w:after="60"/>
        <w:ind w:firstLine="0" w:left="510"/>
      </w:pPr>
      <w:r>
        <w:rPr>
          <w:i/>
        </w:rPr>
        <w:t>v</w:t>
      </w:r>
      <w:r>
        <w:t xml:space="preserve"> — скорость воздуха на участке, м/с.</w:t>
      </w:r>
    </w:p>
    <w:p>
      <w:r>
        <w:t>Результаты расчёта приведены в таблице 3.</w:t>
      </w:r>
    </w:p>
    <w:p>
      <w:pPr>
        <w:pStyle w:val="Названиетаблицы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3</w:t>
      </w:r>
      <w:r>
        <w:fldChar w:fldCharType="end"/>
      </w:r>
      <w:r>
        <w:t xml:space="preserve"> — Аэродинамический расчёт приточной системы П1</w:t>
      </w:r>
    </w:p>
    <w:tbl>
      <w:tblPr>
        <w:tblStyle w:val="TableGrid"/>
        <w:tblW w:w="878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Column="1" w:firstRow="1" w:lastColumn="0" w:lastRow="0" w:noHBand="0" w:noVBand="1" w:val="04A0"/>
      </w:tblPr>
      <w:tblGrid>
        <w:gridCol w:w="651"/>
        <w:gridCol w:w="822"/>
        <w:gridCol w:w="595"/>
        <w:gridCol w:w="680"/>
        <w:gridCol w:w="708"/>
        <w:gridCol w:w="765"/>
        <w:gridCol w:w="765"/>
        <w:gridCol w:w="623"/>
        <w:gridCol w:w="765"/>
        <w:gridCol w:w="765"/>
        <w:gridCol w:w="907"/>
        <w:gridCol w:w="737"/>
      </w:tblGrid>
      <w:tr>
        <w:trPr>
          <w:cantSplit/>
          <w:tblHeader/>
        </w:trPr>
        <w:tc>
          <w:tcPr>
            <w:tcW w:type="dxa" w:w="652"/>
            <w:vAlign w:val="center"/>
          </w:tcPr>
          <w:p>
            <w:pPr>
              <w:pStyle w:val="Тексттаблицы"/>
            </w:pPr>
            <w:r>
              <w:t>№ уч.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L</w:t>
            </w:r>
            <w:r>
              <w:t>, м³/ч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l</w:t>
            </w:r>
            <w:r>
              <w:t>, м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d</w:t>
            </w:r>
            <w:r>
              <w:t>, мм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v</w:t>
            </w:r>
            <w:r>
              <w:t>, м/с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R</w:t>
            </w:r>
            <w:r>
              <w:t>, Па/м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R</w:t>
            </w:r>
            <w:r>
              <w:t>·</w:t>
            </w:r>
            <w:r>
              <w:rPr>
                <w:i/>
              </w:rPr>
              <w:t>l</w:t>
            </w:r>
            <w:r>
              <w:t>, Па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</w:pPr>
            <w:r>
              <w:t>Σζ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p</w:t>
            </w:r>
            <w:r>
              <w:rPr>
                <w:vertAlign w:val="subscript"/>
              </w:rPr>
              <w:t>д</w:t>
            </w:r>
            <w:r>
              <w:t>, Па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Z</w:t>
            </w:r>
            <w:r>
              <w:t>, Па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</w:pPr>
            <w:r>
              <w:rPr>
                <w:i/>
              </w:rPr>
              <w:t>R</w:t>
            </w:r>
            <w:r>
              <w:t>·</w:t>
            </w:r>
            <w:r>
              <w:rPr>
                <w:i/>
              </w:rPr>
              <w:t>l</w:t>
            </w:r>
            <w:r>
              <w:t xml:space="preserve"> + </w:t>
            </w:r>
            <w:r>
              <w:rPr>
                <w:i/>
              </w:rPr>
              <w:t>Z</w:t>
            </w:r>
            <w:r>
              <w:t>, Па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</w:pPr>
            <w:r>
              <w:t>Σ, Па</w:t>
            </w:r>
          </w:p>
        </w:tc>
      </w:tr>
      <w:tr>
        <w:trPr>
          <w:cantSplit/>
        </w:trPr>
        <w:tc>
          <w:tcPr>
            <w:tcW w:type="dxa" w:w="652"/>
            <w:vAlign w:val="center"/>
          </w:tcPr>
          <w:p>
            <w:pPr>
              <w:pStyle w:val="Тексттаблицы"/>
              <w:jc w:val="center"/>
            </w:pPr>
            <w:r>
              <w:t>1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  <w:jc w:val="center"/>
            </w:pPr>
            <w:r>
              <w:t>300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  <w:jc w:val="center"/>
            </w:pPr>
            <w:r>
              <w:t>3,2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200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2,65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0,52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1,65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  <w:jc w:val="center"/>
            </w:pPr>
            <w:r>
              <w:t>7,65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4,22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32,30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33,95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  <w:jc w:val="center"/>
            </w:pPr>
            <w:r>
              <w:t>33,9</w:t>
            </w:r>
          </w:p>
        </w:tc>
      </w:tr>
      <w:tr>
        <w:trPr>
          <w:cantSplit/>
        </w:trPr>
        <w:tc>
          <w:tcPr>
            <w:tcW w:type="dxa" w:w="652"/>
            <w:vAlign w:val="center"/>
          </w:tcPr>
          <w:p>
            <w:pPr>
              <w:pStyle w:val="Тексттаблицы"/>
              <w:jc w:val="center"/>
            </w:pPr>
            <w:r>
              <w:t>2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  <w:jc w:val="center"/>
            </w:pPr>
            <w:r>
              <w:t>600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  <w:jc w:val="center"/>
            </w:pPr>
            <w:r>
              <w:t>3,6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250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3,40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0,61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2,19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  <w:jc w:val="center"/>
            </w:pPr>
            <w:r>
              <w:t>0,35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6,92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2,42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4,61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  <w:jc w:val="center"/>
            </w:pPr>
            <w:r>
              <w:t>38,6</w:t>
            </w:r>
          </w:p>
        </w:tc>
      </w:tr>
      <w:tr>
        <w:trPr>
          <w:cantSplit/>
        </w:trPr>
        <w:tc>
          <w:tcPr>
            <w:tcW w:type="dxa" w:w="652"/>
            <w:vAlign w:val="center"/>
          </w:tcPr>
          <w:p>
            <w:pPr>
              <w:pStyle w:val="Тексттаблицы"/>
              <w:jc w:val="center"/>
            </w:pPr>
            <w:r>
              <w:t>3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  <w:jc w:val="center"/>
            </w:pPr>
            <w:r>
              <w:t>1 200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  <w:jc w:val="center"/>
            </w:pPr>
            <w:r>
              <w:t>2,2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315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4,28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0,69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1,53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  <w:jc w:val="center"/>
            </w:pPr>
            <w:r>
              <w:t>0,70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10,98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7,68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9,21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  <w:jc w:val="center"/>
            </w:pPr>
            <w:r>
              <w:t>47,8</w:t>
            </w:r>
          </w:p>
        </w:tc>
      </w:tr>
      <w:tr>
        <w:trPr>
          <w:cantSplit/>
        </w:trPr>
        <w:tc>
          <w:tcPr>
            <w:tcW w:type="dxa" w:w="652"/>
            <w:vAlign w:val="center"/>
          </w:tcPr>
          <w:p>
            <w:pPr>
              <w:pStyle w:val="Тексттаблицы"/>
              <w:jc w:val="center"/>
            </w:pPr>
            <w:r>
              <w:t>4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  <w:jc w:val="center"/>
            </w:pPr>
            <w:r>
              <w:t>1 200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  <w:jc w:val="center"/>
            </w:pPr>
            <w:r>
              <w:t>3,0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355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3,37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0,39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1,16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  <w:jc w:val="center"/>
            </w:pPr>
            <w:r>
              <w:t>3,15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6,80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21,44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22,60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  <w:jc w:val="center"/>
            </w:pPr>
            <w:r>
              <w:t>70,4</w:t>
            </w:r>
          </w:p>
        </w:tc>
      </w:tr>
      <w:tr>
        <w:trPr>
          <w:cantSplit/>
        </w:trPr>
        <w:tc>
          <w:tcPr>
            <w:tcW w:type="dxa" w:w="652"/>
            <w:vAlign w:val="center"/>
          </w:tcPr>
          <w:p>
            <w:pPr>
              <w:pStyle w:val="Тексттаблицы"/>
              <w:jc w:val="center"/>
            </w:pPr>
            <w:r>
              <w:t>5</w:t>
            </w:r>
          </w:p>
        </w:tc>
        <w:tc>
          <w:tcPr>
            <w:tcW w:type="dxa" w:w="822"/>
            <w:vAlign w:val="center"/>
          </w:tcPr>
          <w:p>
            <w:pPr>
              <w:pStyle w:val="Тексттаблицы"/>
              <w:jc w:val="center"/>
            </w:pPr>
            <w:r>
              <w:t>1 200</w:t>
            </w:r>
          </w:p>
        </w:tc>
        <w:tc>
          <w:tcPr>
            <w:tcW w:type="dxa" w:w="595"/>
            <w:vAlign w:val="center"/>
          </w:tcPr>
          <w:p>
            <w:pPr>
              <w:pStyle w:val="Тексттаблицы"/>
              <w:jc w:val="center"/>
            </w:pPr>
            <w:r>
              <w:t>5,5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355</w:t>
            </w:r>
          </w:p>
        </w:tc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3,37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0,39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2,13</w:t>
            </w:r>
          </w:p>
        </w:tc>
        <w:tc>
          <w:tcPr>
            <w:tcW w:type="dxa" w:w="624"/>
            <w:vAlign w:val="center"/>
          </w:tcPr>
          <w:p>
            <w:pPr>
              <w:pStyle w:val="Тексттаблицы"/>
              <w:jc w:val="center"/>
            </w:pPr>
            <w:r>
              <w:t>3,00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6,80</w:t>
            </w:r>
          </w:p>
        </w:tc>
        <w:tc>
          <w:tcPr>
            <w:tcW w:type="dxa" w:w="765"/>
            <w:vAlign w:val="center"/>
          </w:tcPr>
          <w:p>
            <w:pPr>
              <w:pStyle w:val="Тексттаблицы"/>
              <w:jc w:val="center"/>
            </w:pPr>
            <w:r>
              <w:t>20,41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22,54</w:t>
            </w:r>
          </w:p>
        </w:tc>
        <w:tc>
          <w:tcPr>
            <w:tcW w:type="dxa" w:w="737"/>
            <w:vAlign w:val="center"/>
          </w:tcPr>
          <w:p>
            <w:pPr>
              <w:pStyle w:val="Тексттаблицы"/>
              <w:jc w:val="center"/>
            </w:pPr>
            <w:r>
              <w:t>92,9</w:t>
            </w:r>
          </w:p>
        </w:tc>
      </w:tr>
    </w:tbl>
    <w:p>
      <w:pPr>
        <w:spacing w:before="120"/>
      </w:pPr>
      <w:r>
        <w:t>Потери в сети П1 — 93 Па, требуемый напор с запасом 10 % — 102 Па.</w:t>
      </w:r>
    </w:p>
    <w:p>
      <w:pPr>
        <w:pStyle w:val="Heading2"/>
      </w:pPr>
      <w:bookmarkStart w:id="112" w:name="_Toc000112"/>
      <w:r>
        <w:t>2.3 Подбор приточно-вытяжной установки</w:t>
      </w:r>
      <w:bookmarkEnd w:id="112"/>
    </w:p>
    <w:p>
      <w:r>
        <w:t>Подобрана установка ПВУ-1 с рекуператором (эффективность 75 %), нагревателем 3,7 кВт, охладителем и фильтрами G4/F7: 1 200 м³/ч при свободном напоре 200 Па. Рабочая точка достигается снижением частоты вращения EC-вентилятора до 86 % (рисунок 3).</w:t>
      </w:r>
    </w:p>
    <w:p>
      <w:pPr>
        <w:pStyle w:val="Рисунок"/>
      </w:pPr>
      <w:r>
        <w:drawing>
          <wp:inline xmlns:a="http://schemas.openxmlformats.org/drawingml/2006/main" xmlns:pic="http://schemas.openxmlformats.org/drawingml/2006/picture">
            <wp:extent cx="4860000" cy="214328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_fa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143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Подписьрисунка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</w:t>
      </w:r>
      <w:r>
        <w:fldChar w:fldCharType="end"/>
      </w:r>
      <w:r>
        <w:t xml:space="preserve"> — Характеристики установки ПВУ-1 и сети П1</w:t>
      </w:r>
    </w:p>
    <w:p>
      <w:r>
        <w:t>Мощность, потребляемая приточным вентилятором, Вт,</w:t>
      </w:r>
    </w:p>
    <w:p>
      <w:pPr>
        <w:pStyle w:val="Формула"/>
      </w:pPr>
      <w:r>
        <w:tab/>
      </w:r>
      <m:oMath>
        <m:r>
          <m:t xml:space="preserve">N</m:t>
        </m:r>
        <m:r>
          <m:rPr>
            <m:sty m:val="p"/>
          </m:rPr>
          <m:t xml:space="preserve">=</m:t>
        </m:r>
        <m:f>
          <m:num>
            <m:r>
              <m:t xml:space="preserve">L</m:t>
            </m:r>
            <m:r>
              <m:rPr>
                <m:sty m:val="p"/>
              </m:rPr>
              <m:t xml:space="preserve">·</m:t>
            </m:r>
            <m:r>
              <m:t xml:space="preserve">P</m:t>
            </m:r>
          </m:num>
          <m:den>
            <m:r>
              <m:rPr>
                <m:sty m:val="p"/>
              </m:rPr>
              <m:t xml:space="preserve">3600</m:t>
            </m:r>
            <m:r>
              <m:rPr>
                <m:sty m:val="p"/>
              </m:rPr>
              <m:t xml:space="preserve">·</m:t>
            </m:r>
            <m:r>
              <m:t xml:space="preserve">η</m:t>
            </m:r>
          </m:den>
        </m:f>
      </m:oMath>
      <w:r>
        <w:tab/>
      </w:r>
      <w:r>
        <w:t>(6)</w:t>
      </w:r>
    </w:p>
    <w:p>
      <w:pPr>
        <w:pStyle w:val="Пояснениеформулы"/>
        <w:widowControl/>
        <w:tabs>
          <w:tab w:pos="510" w:val="left"/>
        </w:tabs>
        <w:ind w:hanging="510" w:left="510"/>
      </w:pPr>
      <w:r>
        <w:t>где</w:t>
        <w:tab/>
      </w:r>
      <w:r>
        <w:rPr>
          <w:i/>
        </w:rPr>
        <w:t>L</w:t>
      </w:r>
      <w:r>
        <w:t xml:space="preserve"> — расход воздуха, м³/ч;</w:t>
      </w:r>
    </w:p>
    <w:p>
      <w:pPr>
        <w:pStyle w:val="Пояснениеформулы"/>
        <w:widowControl/>
        <w:ind w:firstLine="0" w:left="510"/>
      </w:pPr>
      <w:r>
        <w:rPr>
          <w:i/>
        </w:rPr>
        <w:t>P</w:t>
      </w:r>
      <w:r>
        <w:t xml:space="preserve"> — полное давление: сеть и элементы установки, </w:t>
      </w:r>
      <w:r>
        <w:rPr>
          <w:i/>
        </w:rPr>
        <w:t>P</w:t>
      </w:r>
      <w:r>
        <w:t xml:space="preserve"> = 93 + 330 = 423 Па;</w:t>
      </w:r>
    </w:p>
    <w:p>
      <w:pPr>
        <w:pStyle w:val="Пояснениеформулы"/>
        <w:widowControl/>
        <w:spacing w:after="60"/>
        <w:ind w:firstLine="0" w:left="510"/>
      </w:pPr>
      <w:r>
        <w:t>η — КПД вентилятора с EC-двигателем, 0,62.</w:t>
      </w:r>
    </w:p>
    <w:p>
      <w:r>
        <w:rPr>
          <w:i/>
        </w:rPr>
        <w:t>N</w:t>
      </w:r>
      <w:r>
        <w:t xml:space="preserve"> = 1 200 · 423 / (3600 · 0,62) = 227 Вт.</w:t>
      </w:r>
    </w:p>
    <w:p>
      <w:pPr>
        <w:pStyle w:val="Heading1"/>
        <w:widowControl/>
        <w:ind w:firstLine="0"/>
        <w:jc w:val="center"/>
      </w:pPr>
      <w:bookmarkStart w:id="113" w:name="_Toc000113"/>
      <w:r>
        <w:rPr>
          <w:caps/>
        </w:rPr>
        <w:t>Заключение</w:t>
      </w:r>
      <w:bookmarkEnd w:id="113"/>
    </w:p>
    <w:p>
      <w:r>
        <w:t>В курсовом проекте выполнены расчёт и подбор системы вентиляции учебного класса № 214 на 30 учащихся. Основные результаты:</w:t>
      </w:r>
    </w:p>
    <w:p>
      <w:pPr>
        <w:pStyle w:val="Перечисление"/>
      </w:pPr>
      <w:r>
        <w:t>– требуемый воздухообмен определяется ассимиляцией теплоизбытков тёплого периода и составляет 1 168 м³/ч; к проектированию принято 1 200 м³/ч (кратность 5,4 ч</w:t>
      </w:r>
      <w:r>
        <w:rPr>
          <w:vertAlign w:val="superscript"/>
        </w:rPr>
        <w:t>−1</w:t>
      </w:r>
      <w:r>
        <w:t>, 39 м³/ч на человека);</w:t>
      </w:r>
    </w:p>
    <w:p>
      <w:pPr>
        <w:pStyle w:val="Перечисление"/>
      </w:pPr>
      <w:r>
        <w:t>– при расчётном воздухообмене концентрация CO</w:t>
      </w:r>
      <w:r>
        <w:rPr>
          <w:vertAlign w:val="subscript"/>
        </w:rPr>
        <w:t>2</w:t>
      </w:r>
      <w:r>
        <w:t xml:space="preserve"> не превышает 920 ppm, что соответствует классу 2 по ГОСТ 30494-2011; без механической вентиляции она достигает 2 900 ppm;</w:t>
      </w:r>
    </w:p>
    <w:p>
      <w:pPr>
        <w:pStyle w:val="Перечисление"/>
      </w:pPr>
      <w:r>
        <w:t>– потери давления в сети П1 составляют 93 Па, требуемый свободный напор с запасом — 102 Па;</w:t>
      </w:r>
    </w:p>
    <w:p>
      <w:pPr>
        <w:pStyle w:val="Перечисление"/>
      </w:pPr>
      <w:r>
        <w:t>– подобрана приточно-вытяжная установка производительностью 1 200 м³/ч с рекуператором эффективностью 75 %; мощность приточного вентилятора — 227 Вт, водяного нагревателя — 3,7 кВт.</w:t>
      </w:r>
    </w:p>
    <w:p>
      <w:r>
        <w:t>Принятые решения обеспечивают нормируемые параметры микроклимата и качества воздуха и могут быть использованы при проектировании вентиляции типовых учебных помещений.</w:t>
      </w:r>
    </w:p>
    <w:p>
      <w:pPr>
        <w:pStyle w:val="Heading1"/>
        <w:widowControl/>
        <w:ind w:firstLine="0"/>
        <w:jc w:val="center"/>
      </w:pPr>
      <w:bookmarkStart w:id="114" w:name="_Toc000114"/>
      <w:r>
        <w:rPr>
          <w:caps/>
        </w:rPr>
        <w:t>Список использованных источников</w:t>
      </w:r>
      <w:bookmarkEnd w:id="114"/>
    </w:p>
    <w:p>
      <w:r>
        <w:t>1. СП 131.13330.2020. Строительная климатология : свод правил : утверждён приказом Минстроя России от 24.12.2020 № 859/пр : дата введения 2021-06-25. – Доступ из информ.-справ. системы «Техэксперт». – Текст : электронный.</w:t>
      </w:r>
    </w:p>
    <w:p>
      <w:r>
        <w:t>2. ГОСТ 30494-2011. Здания жилые и общественные. Параметры микроклимата в помещениях : межгосударственный стандарт : дата введения 2013-01-01. – Доступ из информ.-справ. системы «Техэксперт». – Текст : электронный.</w:t>
      </w:r>
    </w:p>
    <w:p>
      <w:r>
        <w:t>3. СП 2.4.3648-20. Санитарно-эпидемиологические требования к организациям воспитания и обучения, отдыха и оздоровления детей и молодёжи : санитарные правила : утверждены постановлением Главного государственного санитарного врача РФ от 28.09.2020 № 28. – Доступ из информ.-справ. системы «Техэксперт». – Текст : электронный.</w:t>
      </w:r>
    </w:p>
    <w:p>
      <w:r>
        <w:t>4. Внутренние санитарно-технические устройства. В 3 ч. Ч. 3. Вентиляция и кондиционирование воздуха. Кн. 1 / В. Н. Богословский, А. И. Пирумов, В. Н. Посохин [и др.] ; под редакцией Н. Н. Павлова, Ю. И. Шиллера. – 4-е изд., перераб. и доп. – Москва : Стройиздат, 1992. – 319 с. – Текст : непосредственный.</w:t>
      </w:r>
    </w:p>
    <w:p>
      <w:r>
        <w:t>5. СП 60.13330.2020. Отопление, вентиляция и кондиционирование воздуха : свод правил : утверждён приказом Минстроя России от 30.12.2020 № 921/пр : дата введения 2021-07-01. – Доступ из информ.-справ. системы «Техэксперт». – Текст : электронный.</w:t>
      </w:r>
    </w:p>
    <w:p>
      <w:r>
        <w:t>6. ГОСТ 21.602-2016. Система проектной документации для строительства. Правила выполнения рабочей документации систем отопления, вентиляции и кондиционирования : межгосударственный стандарт. – Доступ из информ.-справ. системы «Техэксперт». – Текст : электронный.</w:t>
      </w:r>
    </w:p>
    <w:p>
      <w:r>
        <w:t>7. Тихомиров, К. В. Теплотехника, теплогазоснабжение и вентиляция : учебник для вузов / К. В. Тихомиров, Э. С. Сергеенко. – 4-е изд., перераб. и доп. – Москва : Стройиздат, 1991. – 480 с. – Текст : непосредственный.</w:t>
      </w:r>
    </w:p>
    <w:p>
      <w:pPr>
        <w:pStyle w:val="Heading1"/>
        <w:widowControl/>
        <w:ind w:firstLine="0"/>
        <w:jc w:val="center"/>
      </w:pPr>
      <w:bookmarkStart w:id="115" w:name="_Toc000115"/>
      <w:r>
        <w:rPr>
          <w:caps/>
        </w:rPr>
        <w:t>Приложение А</w:t>
      </w:r>
      <w:r>
        <w:br/>
      </w:r>
      <w:r>
        <w:rPr>
          <w:b w:val="0"/>
          <w:caps w:val="0"/>
        </w:rPr>
        <w:t>(обязательное)</w:t>
      </w:r>
      <w:r>
        <w:br/>
      </w:r>
      <w:r>
        <w:rPr>
          <w:b/>
          <w:caps w:val="0"/>
        </w:rPr>
        <w:t>Спецификация основного оборудования и материалов</w:t>
      </w:r>
      <w:bookmarkEnd w:id="115"/>
    </w:p>
    <w:p>
      <w:pPr>
        <w:pStyle w:val="Названиетаблицы"/>
      </w:pPr>
      <w:r>
        <w:t>Таблица А.</w:t>
      </w:r>
      <w:r>
        <w:fldChar w:fldCharType="begin"/>
      </w:r>
      <w:r>
        <w:instrText xml:space="preserve"> SEQ ТаблицаА \* ARABIC </w:instrText>
      </w:r>
      <w:r>
        <w:fldChar w:fldCharType="separate"/>
      </w:r>
      <w:r>
        <w:t>1</w:t>
      </w:r>
      <w:r>
        <w:fldChar w:fldCharType="end"/>
      </w:r>
      <w:r>
        <w:t xml:space="preserve"> — Спецификация оборудования и материалов системы П1/В1</w:t>
      </w:r>
    </w:p>
    <w:tbl>
      <w:tblPr>
        <w:tblStyle w:val="TableGrid"/>
        <w:tblW w:w="935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Column="1" w:firstRow="1" w:lastColumn="0" w:lastRow="0" w:noHBand="0" w:noVBand="1" w:val="04A0"/>
      </w:tblPr>
      <w:tblGrid>
        <w:gridCol w:w="708"/>
        <w:gridCol w:w="3741"/>
        <w:gridCol w:w="1615"/>
        <w:gridCol w:w="907"/>
        <w:gridCol w:w="680"/>
        <w:gridCol w:w="1700"/>
      </w:tblGrid>
      <w:tr>
        <w:trPr>
          <w:cantSplit/>
          <w:tblHeader/>
        </w:trPr>
        <w:tc>
          <w:tcPr>
            <w:tcW w:type="dxa" w:w="709"/>
            <w:vAlign w:val="center"/>
          </w:tcPr>
          <w:p>
            <w:pPr>
              <w:pStyle w:val="Тексттаблицы"/>
            </w:pPr>
            <w:r>
              <w:t>Поз.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</w:pPr>
            <w:r>
              <w:t>Наименование и техническая характеристика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</w:pPr>
            <w:r>
              <w:t>Тип, марка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</w:pPr>
            <w:r>
              <w:t>Ед. изм.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</w:pPr>
            <w:r>
              <w:t>Кол.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</w:pPr>
            <w:r>
              <w:t>Примечание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 xml:space="preserve">Установка приточно-вытяжная с пластинчатым рекуператором (η = 75 %), водяным нагревателем 3,7 кВт, фреоновым охладителем, фильтрами G4/F7; </w:t>
            </w:r>
            <w:r>
              <w:rPr>
                <w:i/>
              </w:rPr>
              <w:t>L</w:t>
            </w:r>
            <w:r>
              <w:t xml:space="preserve"> = 1 200 м³/ч, </w:t>
            </w:r>
            <w:r>
              <w:rPr>
                <w:i/>
              </w:rPr>
              <w:t>P</w:t>
            </w:r>
            <w:r>
              <w:rPr>
                <w:vertAlign w:val="subscript"/>
              </w:rPr>
              <w:t>св</w:t>
            </w:r>
            <w:r>
              <w:t xml:space="preserve"> = 200 Па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ПВУ-1200-EC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компл.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1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За подшивным потолком коридора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2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 xml:space="preserve">Диффузор потолочный четырёхсторонний 600×600 мм, </w:t>
            </w:r>
            <w:r>
              <w:rPr>
                <w:i/>
              </w:rPr>
              <w:t>L</w:t>
            </w:r>
            <w:r>
              <w:t xml:space="preserve"> = 300 м³/ч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ДП-600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4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3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Решётка вытяжная 400×200 мм с регулятором расхода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РВ-400×200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3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4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Клапан огнезадерживающий нормально открытый EI 60, Ø 355 и Ø 315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КОЗ-EI60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2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В стене коридора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5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 xml:space="preserve">Шумоглушитель трубчатый Ø 355, </w:t>
            </w:r>
            <w:r>
              <w:rPr>
                <w:i/>
              </w:rPr>
              <w:t>l</w:t>
            </w:r>
            <w:r>
              <w:t xml:space="preserve"> = 900 мм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ШТ-355/900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2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Приток и вытяжка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6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Клапан дроссельный Ø 200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ДК-200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4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Увязка ответвлений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7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Воздуховод круглый из оцинкованной стали δ = 0,5 мм, Ø 200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м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9,0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8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То же, Ø 250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м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3,6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9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То же, Ø 315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м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8,4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Включая вытяжку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10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То же, δ = 0,55 мм, Ø 355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м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14,0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11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Отвод 90°, Ø 200…355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10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12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Тройник с переходом, Ø 315/200, Ø 250/200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4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13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Решётка наружная воздухозаборная с сеткой 500×300 мм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РН-500×300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шт.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2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Забор и выброс</w:t>
            </w: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14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Изоляция воздуховодов наружного воздуха и выброса, вспененный каучук δ = 13 мм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м²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11,5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</w:p>
        </w:tc>
      </w:tr>
      <w:tr>
        <w:trPr>
          <w:cantSplit/>
        </w:trPr>
        <w:tc>
          <w:tcPr>
            <w:tcW w:type="dxa" w:w="709"/>
            <w:vAlign w:val="center"/>
          </w:tcPr>
          <w:p>
            <w:pPr>
              <w:pStyle w:val="Тексттаблицы"/>
              <w:jc w:val="center"/>
            </w:pPr>
            <w:r>
              <w:t>15</w:t>
            </w:r>
          </w:p>
        </w:tc>
        <w:tc>
          <w:tcPr>
            <w:tcW w:type="dxa" w:w="3742"/>
            <w:vAlign w:val="center"/>
          </w:tcPr>
          <w:p>
            <w:pPr>
              <w:pStyle w:val="Тексттаблицы"/>
              <w:jc w:val="left"/>
            </w:pPr>
            <w:r>
              <w:t>Комплект автоматики: контроллер, датчик CO</w:t>
            </w:r>
            <w:r>
              <w:rPr>
                <w:vertAlign w:val="subscript"/>
              </w:rPr>
              <w:t>2</w:t>
            </w:r>
            <w:r>
              <w:t>, датчики температуры, привод воздушного клапана</w:t>
            </w:r>
          </w:p>
        </w:tc>
        <w:tc>
          <w:tcPr>
            <w:tcW w:type="dxa" w:w="1616"/>
            <w:vAlign w:val="center"/>
          </w:tcPr>
          <w:p>
            <w:pPr>
              <w:pStyle w:val="Тексттаблицы"/>
              <w:jc w:val="center"/>
            </w:pPr>
            <w:r>
              <w:t>—</w:t>
            </w:r>
          </w:p>
        </w:tc>
        <w:tc>
          <w:tcPr>
            <w:tcW w:type="dxa" w:w="907"/>
            <w:vAlign w:val="center"/>
          </w:tcPr>
          <w:p>
            <w:pPr>
              <w:pStyle w:val="Тексттаблицы"/>
              <w:jc w:val="center"/>
            </w:pPr>
            <w:r>
              <w:t>компл.</w:t>
            </w:r>
          </w:p>
        </w:tc>
        <w:tc>
          <w:tcPr>
            <w:tcW w:type="dxa" w:w="680"/>
            <w:vAlign w:val="center"/>
          </w:tcPr>
          <w:p>
            <w:pPr>
              <w:pStyle w:val="Тексттаблицы"/>
              <w:jc w:val="center"/>
            </w:pPr>
            <w:r>
              <w:t>1</w:t>
            </w:r>
          </w:p>
        </w:tc>
        <w:tc>
          <w:tcPr>
            <w:tcW w:type="dxa" w:w="1701"/>
            <w:vAlign w:val="center"/>
          </w:tcPr>
          <w:p>
            <w:pPr>
              <w:pStyle w:val="Тексттаблицы"/>
              <w:jc w:val="left"/>
            </w:pPr>
            <w:r>
              <w:t>Регулирование по CO</w:t>
            </w:r>
            <w:r>
              <w:rPr>
                <w:vertAlign w:val="subscript"/>
              </w:rPr>
              <w:t>2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line="240" w:lineRule="auto"/>
      <w:ind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autoHyphenation w:val="true"/>
  <w:hyphenationZone w:val="357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Times New Roman" w:hAnsi="Times New Roman" w:cs="Times New Roman" w:eastAsia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360" w:lineRule="auto"/>
      <w:ind w:firstLine="709" w:left="0"/>
      <w:jc w:val="both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widowControl/>
      <w:spacing w:before="0" w:after="240" w:line="360" w:lineRule="auto"/>
      <w:ind w:firstLine="709" w:left="0"/>
      <w:jc w:val="left"/>
      <w:outlineLvl w:val="0"/>
    </w:pPr>
    <w:rPr>
      <w:rFonts w:cstheme="majorBidi" w:ascii="Times New Roman" w:hAnsi="Times New Roman" w:cs="Times New Roman" w:eastAsia="Times New Roman"/>
      <w:b/>
      <w:bCs/>
      <w:i w:val="0"/>
      <w:color w:val="000000"/>
      <w:sz w:val="28"/>
      <w:szCs w:val="28"/>
      <w:lang w:val="ru-RU" w:eastAsia="ru-RU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widowControl/>
      <w:spacing w:before="160" w:after="80" w:line="360" w:lineRule="auto"/>
      <w:ind w:firstLine="709" w:left="0"/>
      <w:jc w:val="left"/>
      <w:outlineLvl w:val="1"/>
    </w:pPr>
    <w:rPr>
      <w:rFonts w:cstheme="majorBidi" w:ascii="Times New Roman" w:hAnsi="Times New Roman" w:cs="Times New Roman" w:eastAsia="Times New Roman"/>
      <w:b/>
      <w:bCs/>
      <w:i w:val="0"/>
      <w:color w:val="000000"/>
      <w:sz w:val="28"/>
      <w:szCs w:val="28"/>
      <w:lang w:val="ru-RU" w:eastAsia="ru-RU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widowControl/>
      <w:spacing w:before="120" w:after="80" w:line="360" w:lineRule="auto"/>
      <w:ind w:firstLine="709" w:left="0"/>
      <w:jc w:val="left"/>
      <w:outlineLvl w:val="2"/>
    </w:pPr>
    <w:rPr>
      <w:rFonts w:cstheme="majorBidi" w:ascii="Times New Roman" w:hAnsi="Times New Roman" w:cs="Times New Roman" w:eastAsia="Times New Roman"/>
      <w:b/>
      <w:bCs/>
      <w:i w:val="0"/>
      <w:color w:val="000000"/>
      <w:sz w:val="28"/>
      <w:szCs w:val="28"/>
      <w:lang w:val="ru-RU" w:eastAsia="ru-RU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Заголовокбезоглавления">
    <w:name w:val="Заголовок без оглавления"/>
    <w:basedOn w:val="Normal"/>
    <w:pPr>
      <w:keepNext/>
      <w:pageBreakBefore/>
      <w:widowControl/>
      <w:spacing w:before="0" w:after="360"/>
      <w:ind w:firstLine="0"/>
      <w:jc w:val="center"/>
    </w:pPr>
    <w:rPr>
      <w:rFonts w:ascii="Times New Roman" w:hAnsi="Times New Roman" w:cs="Times New Roman" w:eastAsia="Times New Roman"/>
      <w:b/>
      <w:caps/>
      <w:color w:val="000000"/>
      <w:sz w:val="28"/>
      <w:szCs w:val="28"/>
      <w:lang w:val="ru-RU" w:eastAsia="ru-RU" w:bidi="ar-SA"/>
    </w:rPr>
  </w:style>
  <w:style w:type="paragraph" w:customStyle="1" w:styleId="Рисунок">
    <w:name w:val="Рисунок"/>
    <w:basedOn w:val="Normal"/>
    <w:pPr>
      <w:keepNext/>
      <w:widowControl/>
      <w:spacing w:before="120" w:after="0" w:line="240" w:lineRule="auto"/>
      <w:ind w:firstLine="0"/>
      <w:jc w:val="center"/>
    </w:pPr>
  </w:style>
  <w:style w:type="paragraph" w:customStyle="1" w:styleId="Подписьрисунка">
    <w:name w:val="Подпись рисунка"/>
    <w:basedOn w:val="Normal"/>
    <w:pPr>
      <w:keepLines/>
      <w:widowControl/>
      <w:spacing w:before="80" w:after="120"/>
      <w:ind w:firstLine="0"/>
      <w:jc w:val="center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customStyle="1" w:styleId="Названиетаблицы">
    <w:name w:val="Название таблицы"/>
    <w:basedOn w:val="Normal"/>
    <w:pPr>
      <w:keepNext/>
      <w:keepLines/>
      <w:widowControl/>
      <w:spacing w:before="120" w:after="0"/>
      <w:ind w:firstLine="0"/>
      <w:jc w:val="left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customStyle="1" w:styleId="Тексттаблицы">
    <w:name w:val="Текст таблицы"/>
    <w:basedOn w:val="Normal"/>
    <w:pPr>
      <w:widowControl/>
      <w:spacing w:before="0" w:after="0" w:line="240" w:lineRule="auto"/>
      <w:ind w:firstLine="0"/>
      <w:jc w:val="center"/>
    </w:pPr>
    <w:rPr>
      <w:rFonts w:ascii="Times New Roman" w:hAnsi="Times New Roman" w:cs="Times New Roman" w:eastAsia="Times New Roman"/>
      <w:color w:val="000000"/>
      <w:sz w:val="24"/>
      <w:szCs w:val="24"/>
      <w:lang w:val="ru-RU" w:eastAsia="ru-RU" w:bidi="ar-SA"/>
    </w:rPr>
  </w:style>
  <w:style w:type="paragraph" w:customStyle="1" w:styleId="Формула">
    <w:name w:val="Формула"/>
    <w:basedOn w:val="Normal"/>
    <w:pPr>
      <w:keepNext/>
      <w:widowControl/>
      <w:tabs>
        <w:tab w:val="center" w:pos="4677"/>
        <w:tab w:val="right" w:pos="9354"/>
      </w:tabs>
      <w:spacing w:before="60" w:after="60"/>
      <w:ind w:firstLine="0"/>
      <w:jc w:val="left"/>
    </w:pPr>
  </w:style>
  <w:style w:type="paragraph" w:customStyle="1" w:styleId="Пояснениеформулы">
    <w:name w:val="Пояснение формулы"/>
    <w:basedOn w:val="Normal"/>
    <w:pPr>
      <w:widowControl/>
      <w:ind w:firstLine="0" w:left="0"/>
      <w:jc w:val="both"/>
    </w:pPr>
  </w:style>
  <w:style w:type="paragraph" w:customStyle="1" w:styleId="Перечисление">
    <w:name w:val="Перечисление"/>
    <w:basedOn w:val="Normal"/>
    <w:pPr>
      <w:widowControl/>
      <w:ind w:firstLine="709"/>
    </w:pPr>
  </w:style>
  <w:style w:type="paragraph" w:customStyle="1" w:styleId="Титульныйлист">
    <w:name w:val="Титульный лист"/>
    <w:basedOn w:val="Normal"/>
    <w:pPr>
      <w:widowControl/>
      <w:spacing w:before="0" w:after="0" w:line="240" w:lineRule="auto"/>
      <w:ind w:firstLine="0"/>
      <w:jc w:val="center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customStyle="1" w:styleId="TOC1">
    <w:name w:val="toc 1"/>
    <w:basedOn w:val="Normal"/>
    <w:pPr>
      <w:widowControl/>
      <w:tabs>
        <w:tab w:val="right" w:leader="dot" w:pos="9354"/>
      </w:tabs>
      <w:spacing w:before="0" w:after="0" w:line="360" w:lineRule="auto"/>
      <w:ind w:firstLine="0" w:left="0" w:right="0"/>
      <w:jc w:val="left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customStyle="1" w:styleId="TOC2">
    <w:name w:val="toc 2"/>
    <w:basedOn w:val="Normal"/>
    <w:pPr>
      <w:widowControl/>
      <w:tabs>
        <w:tab w:val="right" w:leader="dot" w:pos="9354"/>
      </w:tabs>
      <w:spacing w:before="0" w:after="0" w:line="360" w:lineRule="auto"/>
      <w:ind w:firstLine="0" w:left="283" w:right="0"/>
      <w:jc w:val="left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  <w:style w:type="paragraph" w:customStyle="1" w:styleId="TOC3">
    <w:name w:val="toc 3"/>
    <w:basedOn w:val="Normal"/>
    <w:pPr>
      <w:widowControl/>
      <w:tabs>
        <w:tab w:val="right" w:leader="dot" w:pos="9354"/>
      </w:tabs>
      <w:spacing w:before="0" w:after="0" w:line="360" w:lineRule="auto"/>
      <w:ind w:firstLine="0" w:left="567" w:right="0"/>
      <w:jc w:val="left"/>
    </w:pPr>
    <w:rPr>
      <w:rFonts w:ascii="Times New Roman" w:hAnsi="Times New Roman" w:cs="Times New Roman" w:eastAsia="Times New Roman"/>
      <w:color w:val="000000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1942</Words>
  <Characters>10897</Characters>
  <DocSecurity>0</DocSecurity>
  <Lines>202</Lines>
  <Paragraphs>347</Paragraphs>
  <ScaleCrop>false</ScaleCrop>
  <Manager/>
  <Company/>
  <LinksUpToDate>false</LinksUpToDate>
  <CharactersWithSpaces>12502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записка: расчёт и подбор системы вентиляции учебного класса</dc:title>
  <dc:subject>Демонстрационный образец оформления по ГОСТ 7.32-2017</dc:subject>
  <dc:creator>Игорь Туркин</dc:creator>
  <cp:keywords>ГОСТ 7.32-2017; пояснительная записка; вентиляция</cp:keywords>
  <dc:description>Демонстрационный образец оформления. Организация, город, люди и расчётные данные вымышлены.</dc:description>
  <cp:lastModifiedBy>Игорь Туркин</cp:lastModifiedBy>
  <cp:revision>1</cp:revision>
  <dcterms:created xsi:type="dcterms:W3CDTF">2026-10-09T09:00:00Z</dcterms:created>
  <dcterms:modified xsi:type="dcterms:W3CDTF">2026-10-09T09:00:00Z</dcterms:modified>
  <cp:category/>
  <dc:language>ru-RU</dc:language>
</cp:coreProperties>
</file>